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cs="Arial"/>
          <w:b/>
          <w:bCs/>
          <w:sz w:val="28"/>
          <w:lang w:val="en-US"/>
        </w:rPr>
      </w:pPr>
      <w:r>
        <w:rPr>
          <w:b/>
          <w:lang w:eastAsia="zh-CN"/>
        </w:rPr>
        <w:fldChar w:fldCharType="begin"/>
      </w:r>
      <w:r>
        <w:rPr>
          <w:b/>
          <w:lang w:eastAsia="zh-CN"/>
        </w:rPr>
        <w:instrText xml:space="preserve"> MACROBUTTON MTEditEquationSection2 </w:instrText>
      </w:r>
      <w:r>
        <w:rPr>
          <w:rStyle w:val="80"/>
        </w:rPr>
        <w:instrText xml:space="preserve">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lang w:eastAsia="zh-CN"/>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rPr>
        <w:t>3GPP TSG RAN WG1#1</w:t>
      </w:r>
      <w:r>
        <w:rPr>
          <w:rFonts w:hint="eastAsia" w:ascii="Arial" w:hAnsi="Arial" w:cs="Arial"/>
          <w:b/>
          <w:bCs/>
          <w:sz w:val="28"/>
          <w:lang w:val="en-US" w:eastAsia="zh-CN"/>
        </w:rPr>
        <w:t>12bis-e</w:t>
      </w:r>
      <w:r>
        <w:rPr>
          <w:rFonts w:ascii="Arial" w:hAnsi="Arial" w:cs="Arial"/>
          <w:b/>
          <w:bCs/>
          <w:sz w:val="28"/>
        </w:rPr>
        <w:t xml:space="preserve">                              </w:t>
      </w:r>
      <w:r>
        <w:rPr>
          <w:rFonts w:ascii="Arial" w:hAnsi="Arial" w:cs="Arial"/>
          <w:b/>
          <w:bCs/>
          <w:sz w:val="28"/>
        </w:rPr>
        <w:tab/>
      </w:r>
      <w:r>
        <w:rPr>
          <w:rFonts w:ascii="Arial" w:hAnsi="Arial" w:cs="Arial"/>
          <w:b/>
          <w:bCs/>
          <w:sz w:val="28"/>
        </w:rPr>
        <w:t xml:space="preserve">               </w:t>
      </w:r>
      <w:r>
        <w:rPr>
          <w:rFonts w:hint="eastAsia" w:ascii="Arial" w:hAnsi="Arial" w:cs="Arial"/>
          <w:b/>
          <w:bCs/>
          <w:sz w:val="28"/>
          <w:lang w:val="en-US" w:eastAsia="zh-CN"/>
        </w:rPr>
        <w:t xml:space="preserve"> </w:t>
      </w:r>
      <w:r>
        <w:rPr>
          <w:rFonts w:ascii="Arial" w:hAnsi="Arial" w:cs="Arial"/>
          <w:b/>
          <w:bCs/>
          <w:sz w:val="28"/>
        </w:rPr>
        <w:t>R1-</w:t>
      </w:r>
      <w:r>
        <w:t xml:space="preserve"> </w:t>
      </w:r>
      <w:r>
        <w:rPr>
          <w:rFonts w:ascii="Arial" w:hAnsi="Arial" w:cs="Arial"/>
          <w:b/>
          <w:bCs/>
          <w:sz w:val="28"/>
        </w:rPr>
        <w:t>2</w:t>
      </w:r>
      <w:r>
        <w:rPr>
          <w:rFonts w:hint="eastAsia" w:ascii="Arial" w:hAnsi="Arial" w:cs="Arial"/>
          <w:b/>
          <w:bCs/>
          <w:sz w:val="28"/>
          <w:lang w:val="en-US" w:eastAsia="zh-CN"/>
        </w:rPr>
        <w:t>303376</w:t>
      </w:r>
    </w:p>
    <w:p>
      <w:pPr>
        <w:tabs>
          <w:tab w:val="center" w:pos="4536"/>
          <w:tab w:val="right" w:pos="8280"/>
          <w:tab w:val="right" w:pos="9639"/>
        </w:tabs>
        <w:ind w:right="2"/>
        <w:rPr>
          <w:rFonts w:hint="eastAsia" w:ascii="Arial" w:hAnsi="Arial" w:eastAsia="宋体" w:cs="Arial"/>
          <w:b/>
          <w:bCs/>
          <w:sz w:val="28"/>
          <w:lang w:val="en-US" w:eastAsia="zh-CN"/>
        </w:rPr>
      </w:pPr>
      <w:r>
        <w:rPr>
          <w:rFonts w:hint="eastAsia" w:ascii="Arial" w:hAnsi="Arial" w:cs="Arial"/>
          <w:b/>
          <w:bCs/>
          <w:sz w:val="28"/>
          <w:lang w:val="en-US" w:eastAsia="zh-CN"/>
        </w:rPr>
        <w:t>e-Meeting, April</w:t>
      </w:r>
      <w:r>
        <w:rPr>
          <w:rFonts w:ascii="Arial" w:hAnsi="Arial" w:eastAsia="MS Mincho" w:cs="Arial"/>
          <w:b/>
          <w:bCs/>
          <w:sz w:val="28"/>
          <w:lang w:eastAsia="ja-JP"/>
        </w:rPr>
        <w:t xml:space="preserve"> </w:t>
      </w:r>
      <w:r>
        <w:rPr>
          <w:rFonts w:hint="eastAsia" w:ascii="Arial" w:hAnsi="Arial" w:cs="Arial"/>
          <w:b/>
          <w:bCs/>
          <w:sz w:val="28"/>
          <w:lang w:val="en-US" w:eastAsia="zh-CN"/>
        </w:rPr>
        <w:t>17</w:t>
      </w:r>
      <w:r>
        <w:rPr>
          <w:rFonts w:hint="eastAsia" w:ascii="Arial" w:hAnsi="Arial" w:cs="Arial"/>
          <w:b/>
          <w:bCs/>
          <w:sz w:val="28"/>
          <w:vertAlign w:val="superscript"/>
          <w:lang w:val="en-US" w:eastAsia="zh-CN"/>
        </w:rPr>
        <w:t>th</w:t>
      </w:r>
      <w:r>
        <w:rPr>
          <w:rFonts w:ascii="Arial" w:hAnsi="Arial" w:eastAsia="MS Mincho" w:cs="Arial"/>
          <w:b/>
          <w:bCs/>
          <w:sz w:val="28"/>
          <w:lang w:eastAsia="ja-JP"/>
        </w:rPr>
        <w:t xml:space="preserve"> – </w:t>
      </w:r>
      <w:r>
        <w:rPr>
          <w:rFonts w:hint="eastAsia" w:ascii="Arial" w:hAnsi="Arial" w:cs="Arial"/>
          <w:b/>
          <w:bCs/>
          <w:sz w:val="28"/>
          <w:lang w:val="en-US" w:eastAsia="zh-CN"/>
        </w:rPr>
        <w:t>April 26</w:t>
      </w:r>
      <w:r>
        <w:rPr>
          <w:rFonts w:hint="eastAsia" w:ascii="Arial" w:hAnsi="Arial" w:cs="Arial"/>
          <w:b/>
          <w:bCs/>
          <w:sz w:val="28"/>
          <w:vertAlign w:val="superscript"/>
          <w:lang w:val="en-US" w:eastAsia="zh-CN"/>
        </w:rPr>
        <w:t>th</w:t>
      </w:r>
      <w:r>
        <w:rPr>
          <w:rFonts w:ascii="Arial" w:hAnsi="Arial" w:eastAsia="MS Mincho" w:cs="Arial"/>
          <w:b/>
          <w:bCs/>
          <w:sz w:val="28"/>
          <w:lang w:eastAsia="ja-JP"/>
        </w:rPr>
        <w:t>, 202</w:t>
      </w:r>
      <w:r>
        <w:rPr>
          <w:rFonts w:hint="eastAsia" w:ascii="Arial" w:hAnsi="Arial" w:cs="Arial"/>
          <w:b/>
          <w:bCs/>
          <w:sz w:val="28"/>
          <w:lang w:val="en-US" w:eastAsia="zh-CN"/>
        </w:rPr>
        <w:t>3</w:t>
      </w:r>
    </w:p>
    <w:p>
      <w:pPr>
        <w:pBdr>
          <w:top w:val="single" w:color="auto" w:sz="4" w:space="0"/>
        </w:pBdr>
        <w:spacing w:after="0"/>
        <w:jc w:val="left"/>
        <w:rPr>
          <w:b/>
          <w:bCs/>
          <w:sz w:val="16"/>
          <w:szCs w:val="16"/>
        </w:rPr>
      </w:pPr>
    </w:p>
    <w:p>
      <w:pPr>
        <w:spacing w:after="60"/>
        <w:ind w:left="1555" w:hanging="1555"/>
        <w:jc w:val="left"/>
        <w:rPr>
          <w:rFonts w:hint="eastAsia" w:eastAsia="宋体"/>
          <w:b/>
          <w:lang w:val="en-US" w:eastAsia="zh-CN"/>
        </w:rPr>
      </w:pPr>
      <w:r>
        <w:rPr>
          <w:b/>
        </w:rPr>
        <w:t>Agenda Item:</w:t>
      </w:r>
      <w:r>
        <w:rPr>
          <w:b/>
        </w:rPr>
        <w:tab/>
      </w:r>
      <w:r>
        <w:rPr>
          <w:rFonts w:hint="eastAsia"/>
          <w:b/>
          <w:lang w:val="en-US" w:eastAsia="zh-CN"/>
        </w:rPr>
        <w:t>9</w:t>
      </w:r>
      <w:r>
        <w:rPr>
          <w:b/>
        </w:rPr>
        <w:t>.</w:t>
      </w:r>
      <w:r>
        <w:rPr>
          <w:rFonts w:hint="eastAsia"/>
          <w:b/>
          <w:lang w:val="en-US" w:eastAsia="zh-CN"/>
        </w:rPr>
        <w:t>4.2</w:t>
      </w:r>
    </w:p>
    <w:p>
      <w:pPr>
        <w:spacing w:after="60"/>
        <w:ind w:left="1555" w:hanging="1555"/>
        <w:jc w:val="left"/>
        <w:rPr>
          <w:rFonts w:hint="default"/>
          <w:b/>
          <w:lang w:val="en-US" w:eastAsia="zh-CN"/>
        </w:rPr>
      </w:pPr>
      <w:r>
        <w:rPr>
          <w:b/>
        </w:rPr>
        <w:t>Source:</w:t>
      </w:r>
      <w:r>
        <w:rPr>
          <w:b/>
        </w:rPr>
        <w:tab/>
      </w:r>
      <w:r>
        <w:rPr>
          <w:rFonts w:hint="eastAsia"/>
          <w:b/>
          <w:lang w:val="en-US" w:eastAsia="zh-CN"/>
        </w:rPr>
        <w:t>Transsion Holdings</w:t>
      </w:r>
    </w:p>
    <w:p>
      <w:pPr>
        <w:spacing w:after="60"/>
        <w:ind w:left="1555" w:hanging="1555"/>
        <w:jc w:val="left"/>
        <w:rPr>
          <w:rFonts w:hint="default"/>
          <w:b/>
          <w:lang w:val="en-US" w:eastAsia="zh-CN"/>
        </w:rPr>
      </w:pPr>
      <w:r>
        <w:rPr>
          <w:b/>
        </w:rPr>
        <w:t>Title:</w:t>
      </w:r>
      <w:r>
        <w:rPr>
          <w:b/>
        </w:rPr>
        <w:tab/>
      </w:r>
      <w:r>
        <w:rPr>
          <w:rFonts w:hint="eastAsia"/>
          <w:b/>
          <w:lang w:val="en-US" w:eastAsia="zh-CN"/>
        </w:rPr>
        <w:t>Discussion of co-channel coexistence for LTE sidelink and NR sidelink</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pStyle w:val="2"/>
        <w:rPr>
          <w:lang w:eastAsia="zh-CN"/>
        </w:rPr>
      </w:pPr>
      <w:r>
        <w:rPr>
          <w:lang w:eastAsia="zh-CN"/>
        </w:rPr>
        <w:t>Introduction</w:t>
      </w:r>
      <w:bookmarkStart w:id="0" w:name="OLE_LINK13"/>
      <w:bookmarkStart w:id="1" w:name="OLE_LINK14"/>
      <w:bookmarkStart w:id="2" w:name="_Ref494215420"/>
    </w:p>
    <w:bookmarkEnd w:id="0"/>
    <w:bookmarkEnd w:id="1"/>
    <w:p>
      <w:pPr>
        <w:widowControl w:val="0"/>
        <w:kinsoku w:val="0"/>
        <w:overflowPunct w:val="0"/>
        <w:adjustRightInd/>
        <w:snapToGrid/>
        <w:rPr>
          <w:rFonts w:hint="default"/>
          <w:lang w:val="en-US" w:eastAsia="zh-CN"/>
        </w:rPr>
      </w:pPr>
      <w:r>
        <w:rPr>
          <w:lang w:eastAsia="zh-CN"/>
        </w:rPr>
        <w:t>I</w:t>
      </w:r>
      <w:r>
        <w:rPr>
          <w:rFonts w:hint="eastAsia"/>
          <w:lang w:eastAsia="zh-CN"/>
        </w:rPr>
        <w:t xml:space="preserve">n </w:t>
      </w:r>
      <w:r>
        <w:rPr>
          <w:rFonts w:hint="eastAsia"/>
          <w:lang w:val="en-US" w:eastAsia="zh-CN"/>
        </w:rPr>
        <w:t>RAN#94e</w:t>
      </w:r>
      <w:r>
        <w:rPr>
          <w:lang w:eastAsia="zh-CN"/>
        </w:rPr>
        <w:t xml:space="preserve"> meeting, </w:t>
      </w:r>
      <w:r>
        <w:rPr>
          <w:rFonts w:hint="eastAsia"/>
          <w:lang w:val="en-US" w:eastAsia="zh-CN"/>
        </w:rPr>
        <w:t>a new WID had been approved. And in RAN#99</w:t>
      </w:r>
      <w:r>
        <w:rPr>
          <w:lang w:eastAsia="zh-CN"/>
        </w:rPr>
        <w:t xml:space="preserve"> meeting</w:t>
      </w:r>
      <w:r>
        <w:rPr>
          <w:rFonts w:hint="eastAsia"/>
          <w:lang w:val="en-US" w:eastAsia="zh-CN"/>
        </w:rPr>
        <w:t xml:space="preserve">, this WID had been revised as the following: </w:t>
      </w:r>
      <w:r>
        <w:rPr>
          <w:lang w:eastAsia="zh-CN"/>
        </w:rPr>
        <w:t>[1]</w:t>
      </w:r>
    </w:p>
    <w:tbl>
      <w:tblPr>
        <w:tblStyle w:val="30"/>
        <w:tblW w:w="9214"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14" w:type="dxa"/>
            <w:noWrap w:val="0"/>
            <w:vAlign w:val="top"/>
          </w:tcPr>
          <w:p>
            <w:pPr>
              <w:pStyle w:val="4"/>
              <w:widowControl w:val="0"/>
              <w:numPr>
                <w:ilvl w:val="1"/>
                <w:numId w:val="8"/>
              </w:numPr>
              <w:rPr>
                <w:color w:val="0000FF"/>
              </w:rPr>
            </w:pPr>
            <w:r>
              <w:rPr>
                <w:color w:val="0000FF"/>
              </w:rPr>
              <w:t>Objective of SI or Core part WI or Testing part WI</w:t>
            </w:r>
          </w:p>
          <w:p>
            <w:pPr>
              <w:widowControl w:val="0"/>
              <w:jc w:val="center"/>
            </w:pPr>
            <w:r>
              <w:rPr>
                <w:rFonts w:hint="eastAsia" w:ascii="Times" w:hAnsi="Times" w:cs="Times"/>
                <w:lang w:val="en-US" w:eastAsia="zh-CN"/>
              </w:rPr>
              <w:t>......</w:t>
            </w:r>
          </w:p>
          <w:p>
            <w:pPr>
              <w:widowControl w:val="0"/>
              <w:numPr>
                <w:ilvl w:val="0"/>
                <w:numId w:val="9"/>
              </w:numPr>
              <w:overflowPunct w:val="0"/>
              <w:snapToGrid/>
              <w:spacing w:before="120" w:after="0"/>
              <w:ind w:left="142" w:leftChars="0"/>
              <w:jc w:val="left"/>
              <w:textAlignment w:val="baseline"/>
              <w:rPr>
                <w:rFonts w:ascii="Times" w:hAnsi="Times" w:eastAsia="Batang" w:cs="Times"/>
                <w:iCs/>
                <w:sz w:val="22"/>
                <w:szCs w:val="22"/>
                <w:lang w:val="en-GB" w:eastAsia="en-GB"/>
              </w:rPr>
            </w:pPr>
            <w:r>
              <w:rPr>
                <w:rFonts w:ascii="Times" w:hAnsi="Times" w:eastAsia="Batang" w:cs="Times"/>
                <w:sz w:val="22"/>
                <w:szCs w:val="22"/>
                <w:lang w:val="en-GB" w:eastAsia="en-GB"/>
              </w:rPr>
              <w:t>Study and specify, if necessary, mechanism(s) for co-channel coexistence for LTE sidelink and NR sidelink including performance, necessity, feasibility, and potential specification impact if any [RAN1, RAN2, RAN4]</w:t>
            </w:r>
          </w:p>
          <w:p>
            <w:pPr>
              <w:widowControl w:val="0"/>
              <w:numPr>
                <w:ilvl w:val="0"/>
                <w:numId w:val="10"/>
              </w:numPr>
              <w:overflowPunct w:val="0"/>
              <w:snapToGrid/>
              <w:spacing w:before="60" w:after="60"/>
              <w:ind w:left="993" w:hanging="284"/>
              <w:jc w:val="left"/>
              <w:textAlignment w:val="baseline"/>
              <w:rPr>
                <w:rFonts w:ascii="Times" w:hAnsi="Times" w:eastAsia="Batang" w:cs="Times"/>
                <w:iCs/>
                <w:sz w:val="22"/>
                <w:szCs w:val="22"/>
                <w:lang w:val="en-GB" w:eastAsia="ko-KR"/>
              </w:rPr>
            </w:pPr>
            <w:r>
              <w:rPr>
                <w:rFonts w:ascii="Times" w:hAnsi="Times" w:eastAsia="Batang" w:cs="Times"/>
                <w:sz w:val="22"/>
                <w:szCs w:val="22"/>
                <w:lang w:val="en-GB" w:eastAsia="ko-KR"/>
              </w:rPr>
              <w:t>Reuse the in-device coexistence framework defined in Rel-16 as much as possible</w:t>
            </w:r>
          </w:p>
          <w:p>
            <w:pPr>
              <w:widowControl w:val="0"/>
              <w:numPr>
                <w:ilvl w:val="0"/>
                <w:numId w:val="10"/>
              </w:numPr>
              <w:overflowPunct w:val="0"/>
              <w:snapToGrid/>
              <w:spacing w:before="60" w:after="60"/>
              <w:ind w:left="993" w:hanging="284"/>
              <w:jc w:val="left"/>
              <w:textAlignment w:val="baseline"/>
              <w:rPr>
                <w:rFonts w:ascii="Times" w:hAnsi="Times" w:eastAsia="Batang" w:cs="Times"/>
                <w:iCs/>
                <w:sz w:val="22"/>
                <w:szCs w:val="22"/>
                <w:lang w:val="en-GB" w:eastAsia="ko-KR"/>
              </w:rPr>
            </w:pPr>
            <w:r>
              <w:rPr>
                <w:rFonts w:ascii="Times" w:hAnsi="Times" w:eastAsia="Batang" w:cs="Times"/>
                <w:iCs/>
                <w:sz w:val="22"/>
                <w:szCs w:val="22"/>
                <w:lang w:val="en-GB" w:eastAsia="ko-KR"/>
              </w:rPr>
              <w:t>Note, RAN1 continues the work on dynamic resource pool sharing based on existing agreements and WID with high priority for Type A devices and operating combination A</w:t>
            </w:r>
          </w:p>
          <w:p>
            <w:pPr>
              <w:widowControl w:val="0"/>
              <w:numPr>
                <w:ilvl w:val="0"/>
                <w:numId w:val="10"/>
              </w:numPr>
              <w:overflowPunct w:val="0"/>
              <w:snapToGrid/>
              <w:spacing w:before="60" w:after="60"/>
              <w:ind w:left="993" w:hanging="284"/>
              <w:jc w:val="left"/>
              <w:textAlignment w:val="baseline"/>
              <w:rPr>
                <w:rFonts w:ascii="Times" w:hAnsi="Times" w:eastAsia="Batang" w:cs="Times"/>
                <w:iCs/>
                <w:sz w:val="22"/>
                <w:szCs w:val="22"/>
                <w:lang w:val="en-GB" w:eastAsia="ko-KR"/>
              </w:rPr>
            </w:pPr>
            <w:r>
              <w:rPr>
                <w:rFonts w:ascii="Times" w:hAnsi="Times" w:eastAsia="Batang" w:cs="Times"/>
                <w:iCs/>
                <w:sz w:val="22"/>
                <w:szCs w:val="22"/>
                <w:lang w:val="en-GB" w:eastAsia="ko-KR"/>
              </w:rPr>
              <w:t>RAN1 is tasked to support only 15 and 30 kHz SCSs for dynamic resource pool sharing. Existing RAN1 agreements for dynamic resource pool sharing apply to support of 30 kHz.</w:t>
            </w:r>
          </w:p>
          <w:p>
            <w:pPr>
              <w:widowControl w:val="0"/>
              <w:numPr>
                <w:ilvl w:val="1"/>
                <w:numId w:val="10"/>
              </w:numPr>
              <w:overflowPunct w:val="0"/>
              <w:snapToGrid/>
              <w:spacing w:before="60" w:after="60"/>
              <w:ind w:left="1440" w:hanging="360"/>
              <w:jc w:val="left"/>
              <w:textAlignment w:val="baseline"/>
              <w:rPr>
                <w:rFonts w:ascii="Times" w:hAnsi="Times" w:eastAsia="Batang" w:cs="Times"/>
                <w:iCs/>
                <w:sz w:val="22"/>
                <w:szCs w:val="22"/>
                <w:lang w:val="en-GB" w:eastAsia="ko-KR"/>
              </w:rPr>
            </w:pPr>
            <w:r>
              <w:rPr>
                <w:rFonts w:ascii="Times" w:hAnsi="Times" w:eastAsia="Batang" w:cs="Times"/>
                <w:iCs/>
                <w:sz w:val="22"/>
                <w:szCs w:val="22"/>
                <w:lang w:val="en-GB" w:eastAsia="ko-KR"/>
              </w:rPr>
              <w:t>For NR PSCCH/PSSCH transmissions in 30kHz SCS, NR SL UE selects in MAC layer at least the first of NR SL slots overlapping with an LTE SL subframe, and can select the subsequent overlapping NR SL slot in MAC layer</w:t>
            </w:r>
          </w:p>
          <w:p>
            <w:pPr>
              <w:widowControl w:val="0"/>
              <w:numPr>
                <w:ilvl w:val="2"/>
                <w:numId w:val="10"/>
              </w:numPr>
              <w:overflowPunct w:val="0"/>
              <w:snapToGrid/>
              <w:spacing w:before="60" w:after="60"/>
              <w:ind w:left="2160" w:hanging="360"/>
              <w:jc w:val="left"/>
              <w:textAlignment w:val="baseline"/>
              <w:rPr>
                <w:rFonts w:ascii="Times" w:hAnsi="Times" w:eastAsia="Batang" w:cs="Times"/>
                <w:iCs/>
                <w:sz w:val="22"/>
                <w:szCs w:val="22"/>
                <w:lang w:val="en-GB" w:eastAsia="ko-KR"/>
              </w:rPr>
            </w:pPr>
            <w:r>
              <w:rPr>
                <w:rFonts w:ascii="Times" w:hAnsi="Times" w:eastAsia="Batang" w:cs="Times"/>
                <w:iCs/>
                <w:sz w:val="22"/>
                <w:szCs w:val="22"/>
                <w:lang w:val="en-GB" w:eastAsia="ko-KR"/>
              </w:rPr>
              <w:t>No change to the R16/17 resource allocation procedure in PHY due to this restriction</w:t>
            </w:r>
          </w:p>
          <w:p>
            <w:pPr>
              <w:widowControl w:val="0"/>
              <w:numPr>
                <w:ilvl w:val="2"/>
                <w:numId w:val="10"/>
              </w:numPr>
              <w:overflowPunct w:val="0"/>
              <w:snapToGrid/>
              <w:spacing w:before="60" w:after="60"/>
              <w:ind w:left="2160" w:hanging="360"/>
              <w:jc w:val="left"/>
              <w:textAlignment w:val="baseline"/>
              <w:rPr>
                <w:rFonts w:ascii="Times" w:hAnsi="Times" w:eastAsia="Batang" w:cs="Times"/>
                <w:iCs/>
                <w:sz w:val="22"/>
                <w:szCs w:val="22"/>
                <w:lang w:val="en-GB" w:eastAsia="ko-KR"/>
              </w:rPr>
            </w:pPr>
            <w:r>
              <w:rPr>
                <w:rFonts w:ascii="Times" w:hAnsi="Times" w:eastAsia="Batang" w:cs="Times"/>
                <w:iCs/>
                <w:sz w:val="22"/>
                <w:szCs w:val="22"/>
                <w:lang w:val="en-GB" w:eastAsia="ko-KR"/>
              </w:rPr>
              <w:t>The existing SL slot structure from Rel-16 is unchanged</w:t>
            </w:r>
          </w:p>
          <w:p>
            <w:pPr>
              <w:widowControl w:val="0"/>
              <w:numPr>
                <w:ilvl w:val="2"/>
                <w:numId w:val="10"/>
              </w:numPr>
              <w:overflowPunct w:val="0"/>
              <w:snapToGrid/>
              <w:spacing w:before="60" w:after="60"/>
              <w:ind w:left="2160" w:hanging="360"/>
              <w:jc w:val="left"/>
              <w:textAlignment w:val="baseline"/>
              <w:rPr>
                <w:rFonts w:ascii="Times" w:hAnsi="Times" w:eastAsia="Batang" w:cs="Times"/>
                <w:iCs/>
                <w:sz w:val="22"/>
                <w:szCs w:val="22"/>
                <w:lang w:val="en-GB" w:eastAsia="ko-KR"/>
              </w:rPr>
            </w:pPr>
            <w:r>
              <w:rPr>
                <w:rFonts w:ascii="Times" w:hAnsi="Times" w:eastAsia="Batang" w:cs="Times"/>
                <w:iCs/>
                <w:sz w:val="22"/>
                <w:szCs w:val="22"/>
                <w:lang w:val="en-GB" w:eastAsia="ko-KR"/>
              </w:rPr>
              <w:t>The starting symbol of the first of the overlapping NR SL slots is assumed to be aligned with the first symbol of the LTE SL subframe</w:t>
            </w:r>
          </w:p>
          <w:p>
            <w:pPr>
              <w:widowControl w:val="0"/>
              <w:numPr>
                <w:ilvl w:val="1"/>
                <w:numId w:val="10"/>
              </w:numPr>
              <w:overflowPunct w:val="0"/>
              <w:snapToGrid/>
              <w:spacing w:before="60" w:after="60"/>
              <w:ind w:left="1440" w:hanging="360"/>
              <w:jc w:val="left"/>
              <w:textAlignment w:val="baseline"/>
              <w:rPr>
                <w:rFonts w:ascii="Times" w:hAnsi="Times" w:eastAsia="Batang" w:cs="Times"/>
                <w:iCs/>
                <w:sz w:val="22"/>
                <w:szCs w:val="22"/>
                <w:lang w:val="en-GB" w:eastAsia="ko-KR"/>
              </w:rPr>
            </w:pPr>
            <w:r>
              <w:rPr>
                <w:rFonts w:ascii="Times" w:hAnsi="Times" w:eastAsia="Batang" w:cs="Times"/>
                <w:iCs/>
                <w:sz w:val="22"/>
                <w:szCs w:val="22"/>
                <w:lang w:val="en-GB" w:eastAsia="ko-KR"/>
              </w:rPr>
              <w:t>For NR SL with 15/30kHz SCSs, NR SL UE avoids selecting resources for PSCCH/PSSCH transmissions where the corresponding PSFCH transmission occasions overlap with LTE SL reservations in time domain</w:t>
            </w:r>
          </w:p>
          <w:p>
            <w:pPr>
              <w:widowControl w:val="0"/>
              <w:numPr>
                <w:ilvl w:val="2"/>
                <w:numId w:val="10"/>
              </w:numPr>
              <w:overflowPunct w:val="0"/>
              <w:snapToGrid/>
              <w:spacing w:before="60" w:after="60"/>
              <w:ind w:left="2160" w:hanging="360"/>
              <w:jc w:val="left"/>
              <w:textAlignment w:val="baseline"/>
              <w:rPr>
                <w:rFonts w:ascii="Times" w:hAnsi="Times" w:eastAsia="Batang" w:cs="Times"/>
                <w:iCs/>
                <w:sz w:val="22"/>
                <w:szCs w:val="22"/>
                <w:lang w:val="en-GB" w:eastAsia="ko-KR"/>
              </w:rPr>
            </w:pPr>
            <w:r>
              <w:rPr>
                <w:rFonts w:ascii="Times" w:hAnsi="Times" w:eastAsia="Batang" w:cs="Times"/>
                <w:iCs/>
                <w:sz w:val="22"/>
                <w:szCs w:val="22"/>
                <w:lang w:val="en-GB" w:eastAsia="ko-KR"/>
              </w:rPr>
              <w:t>Note, this is inline with Option 1-2 in the working assumption made in RAN1#112. No other options from the working assumption need to be considered.</w:t>
            </w:r>
          </w:p>
          <w:p>
            <w:pPr>
              <w:widowControl w:val="0"/>
              <w:numPr>
                <w:ilvl w:val="1"/>
                <w:numId w:val="10"/>
              </w:numPr>
              <w:overflowPunct w:val="0"/>
              <w:snapToGrid/>
              <w:spacing w:before="60" w:after="60"/>
              <w:ind w:left="1440" w:hanging="360"/>
              <w:jc w:val="left"/>
              <w:textAlignment w:val="baseline"/>
              <w:rPr>
                <w:rFonts w:hint="eastAsia" w:ascii="Times" w:hAnsi="Times" w:cs="Times"/>
                <w:sz w:val="24"/>
                <w:szCs w:val="24"/>
                <w:lang w:val="en-US" w:eastAsia="zh-CN"/>
              </w:rPr>
            </w:pPr>
            <w:r>
              <w:rPr>
                <w:rFonts w:ascii="Times" w:hAnsi="Times" w:eastAsia="Batang" w:cs="Times"/>
                <w:iCs/>
                <w:sz w:val="22"/>
                <w:szCs w:val="22"/>
                <w:lang w:val="en-GB" w:eastAsia="ko-KR"/>
              </w:rPr>
              <w:t>Mode 2 operation only</w:t>
            </w:r>
          </w:p>
          <w:p>
            <w:pPr>
              <w:widowControl w:val="0"/>
              <w:numPr>
                <w:ilvl w:val="0"/>
                <w:numId w:val="0"/>
              </w:numPr>
              <w:spacing w:before="60" w:after="60"/>
              <w:jc w:val="center"/>
              <w:rPr>
                <w:rFonts w:hint="eastAsia" w:ascii="Times" w:hAnsi="Times" w:cs="Times"/>
                <w:lang w:val="en-US" w:eastAsia="zh-CN"/>
              </w:rPr>
            </w:pPr>
            <w:r>
              <w:rPr>
                <w:rFonts w:hint="eastAsia" w:ascii="Times" w:hAnsi="Times" w:cs="Times"/>
                <w:lang w:val="en-US" w:eastAsia="zh-CN"/>
              </w:rPr>
              <w:t>......</w:t>
            </w:r>
          </w:p>
          <w:p>
            <w:pPr>
              <w:widowControl w:val="0"/>
              <w:numPr>
                <w:ilvl w:val="0"/>
                <w:numId w:val="0"/>
              </w:numPr>
              <w:spacing w:before="60" w:after="60"/>
              <w:jc w:val="center"/>
              <w:rPr>
                <w:rFonts w:hint="default" w:ascii="Times" w:hAnsi="Times" w:cs="Times"/>
                <w:lang w:val="en-US" w:eastAsia="zh-CN"/>
              </w:rPr>
            </w:pPr>
          </w:p>
        </w:tc>
      </w:tr>
    </w:tbl>
    <w:p>
      <w:pPr>
        <w:widowControl w:val="0"/>
        <w:kinsoku w:val="0"/>
        <w:overflowPunct w:val="0"/>
        <w:adjustRightInd/>
        <w:snapToGrid/>
        <w:rPr>
          <w:lang w:val="en" w:eastAsia="zh-CN"/>
        </w:rPr>
      </w:pPr>
    </w:p>
    <w:p>
      <w:pPr>
        <w:widowControl w:val="0"/>
        <w:kinsoku w:val="0"/>
        <w:overflowPunct w:val="0"/>
        <w:adjustRightInd/>
        <w:snapToGrid/>
        <w:rPr>
          <w:rFonts w:hint="eastAsia"/>
          <w:lang w:val="en-US" w:eastAsia="zh-CN"/>
        </w:rPr>
      </w:pPr>
      <w:r>
        <w:rPr>
          <w:rFonts w:hint="eastAsia"/>
          <w:lang w:val="en-US" w:eastAsia="zh-CN"/>
        </w:rPr>
        <w:t>In RAN1#110bis-e</w:t>
      </w:r>
      <w:r>
        <w:rPr>
          <w:lang w:eastAsia="zh-CN"/>
        </w:rPr>
        <w:t xml:space="preserve"> meeting,</w:t>
      </w:r>
      <w:r>
        <w:rPr>
          <w:rFonts w:hint="eastAsia"/>
          <w:lang w:val="en-US" w:eastAsia="zh-CN"/>
        </w:rPr>
        <w:t xml:space="preserve"> the following agreements were made: [2]</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widowControl w:val="0"/>
              <w:overflowPunct/>
              <w:autoSpaceDE/>
              <w:autoSpaceDN/>
              <w:adjustRightInd/>
              <w:spacing w:before="120" w:after="0" w:line="259" w:lineRule="auto"/>
              <w:jc w:val="both"/>
              <w:textAlignment w:val="auto"/>
              <w:rPr>
                <w:rFonts w:ascii="Times New Roman" w:hAnsi="Times New Roman" w:eastAsia="MS Mincho" w:cs="Times New Roman"/>
                <w:b/>
                <w:sz w:val="22"/>
                <w:szCs w:val="22"/>
                <w:lang w:val="en-US" w:eastAsia="en-US" w:bidi="ar-SA"/>
              </w:rPr>
            </w:pPr>
            <w:r>
              <w:rPr>
                <w:rFonts w:ascii="Times New Roman" w:hAnsi="Times New Roman" w:eastAsia="MS Mincho" w:cs="Times New Roman"/>
                <w:b/>
                <w:sz w:val="22"/>
                <w:szCs w:val="22"/>
                <w:highlight w:val="green"/>
                <w:lang w:val="en-US" w:eastAsia="en-US" w:bidi="ar-SA"/>
              </w:rPr>
              <w:t>Agreement</w:t>
            </w:r>
          </w:p>
          <w:p>
            <w:pPr>
              <w:widowControl w:val="0"/>
              <w:overflowPunct/>
              <w:autoSpaceDE/>
              <w:autoSpaceDN/>
              <w:adjustRightInd/>
              <w:spacing w:after="0" w:line="259" w:lineRule="auto"/>
              <w:ind w:left="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For dynamic resource pool sharing, the candidate information shared by the LTE SL module to the NR SL module may include one or more of the following parameters, to be down-selected:</w:t>
            </w:r>
          </w:p>
          <w:p>
            <w:pPr>
              <w:widowControl w:val="0"/>
              <w:numPr>
                <w:ilvl w:val="0"/>
                <w:numId w:val="11"/>
              </w:numPr>
              <w:overflowPunct/>
              <w:autoSpaceDE w:val="0"/>
              <w:autoSpaceDN w:val="0"/>
              <w:adjustRightInd/>
              <w:spacing w:after="0" w:line="259" w:lineRule="auto"/>
              <w:ind w:left="72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Time and frequency locations of reserved resources by other LTE UEs, determined based on decoded SCIs</w:t>
            </w:r>
          </w:p>
          <w:p>
            <w:pPr>
              <w:widowControl w:val="0"/>
              <w:numPr>
                <w:ilvl w:val="0"/>
                <w:numId w:val="11"/>
              </w:numPr>
              <w:overflowPunct/>
              <w:autoSpaceDE w:val="0"/>
              <w:autoSpaceDN w:val="0"/>
              <w:adjustRightInd/>
              <w:spacing w:after="0" w:line="259" w:lineRule="auto"/>
              <w:ind w:left="72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SL RSRP measurement results</w:t>
            </w:r>
          </w:p>
          <w:p>
            <w:pPr>
              <w:widowControl w:val="0"/>
              <w:numPr>
                <w:ilvl w:val="0"/>
                <w:numId w:val="11"/>
              </w:numPr>
              <w:overflowPunct/>
              <w:autoSpaceDE w:val="0"/>
              <w:autoSpaceDN w:val="0"/>
              <w:adjustRightInd/>
              <w:spacing w:after="0" w:line="259" w:lineRule="auto"/>
              <w:ind w:left="72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Resource reservation periods based on decoded SCI and for own LTE SL transmissions</w:t>
            </w:r>
          </w:p>
          <w:p>
            <w:pPr>
              <w:widowControl w:val="0"/>
              <w:numPr>
                <w:ilvl w:val="0"/>
                <w:numId w:val="11"/>
              </w:numPr>
              <w:overflowPunct/>
              <w:autoSpaceDE w:val="0"/>
              <w:autoSpaceDN w:val="0"/>
              <w:adjustRightInd/>
              <w:spacing w:after="0" w:line="259" w:lineRule="auto"/>
              <w:ind w:left="72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Priority based on decoded SCI and for own LTE SL transmissions</w:t>
            </w:r>
          </w:p>
          <w:p>
            <w:pPr>
              <w:widowControl w:val="0"/>
              <w:numPr>
                <w:ilvl w:val="0"/>
                <w:numId w:val="11"/>
              </w:numPr>
              <w:overflowPunct/>
              <w:autoSpaceDE w:val="0"/>
              <w:autoSpaceDN w:val="0"/>
              <w:adjustRightInd/>
              <w:spacing w:after="0" w:line="259" w:lineRule="auto"/>
              <w:ind w:left="72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Time and frequency location of resources used for own LTE SL transmissions</w:t>
            </w:r>
          </w:p>
          <w:p>
            <w:pPr>
              <w:widowControl w:val="0"/>
              <w:numPr>
                <w:ilvl w:val="0"/>
                <w:numId w:val="11"/>
              </w:numPr>
              <w:overflowPunct/>
              <w:autoSpaceDE w:val="0"/>
              <w:autoSpaceDN w:val="0"/>
              <w:adjustRightInd/>
              <w:spacing w:after="0" w:line="259" w:lineRule="auto"/>
              <w:ind w:left="72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Candidate resource set S</w:t>
            </w:r>
            <w:r>
              <w:rPr>
                <w:rFonts w:ascii="Times New Roman" w:hAnsi="Times New Roman" w:eastAsia="MS Mincho" w:cs="Times New Roman"/>
                <w:sz w:val="22"/>
                <w:szCs w:val="22"/>
                <w:vertAlign w:val="subscript"/>
                <w:lang w:val="en-US" w:eastAsia="en-US" w:bidi="ar-SA"/>
              </w:rPr>
              <w:t>A</w:t>
            </w:r>
            <w:r>
              <w:rPr>
                <w:rFonts w:ascii="Times New Roman" w:hAnsi="Times New Roman" w:eastAsia="MS Mincho" w:cs="Times New Roman"/>
                <w:sz w:val="22"/>
                <w:szCs w:val="22"/>
                <w:lang w:val="en-US" w:eastAsia="en-US" w:bidi="ar-SA"/>
              </w:rPr>
              <w:t xml:space="preserve"> or S</w:t>
            </w:r>
            <w:r>
              <w:rPr>
                <w:rFonts w:ascii="Times New Roman" w:hAnsi="Times New Roman" w:eastAsia="MS Mincho" w:cs="Times New Roman"/>
                <w:sz w:val="22"/>
                <w:szCs w:val="22"/>
                <w:vertAlign w:val="subscript"/>
                <w:lang w:val="en-US" w:eastAsia="en-US" w:bidi="ar-SA"/>
              </w:rPr>
              <w:t>B</w:t>
            </w:r>
          </w:p>
          <w:p>
            <w:pPr>
              <w:widowControl w:val="0"/>
              <w:numPr>
                <w:ilvl w:val="0"/>
                <w:numId w:val="11"/>
              </w:numPr>
              <w:overflowPunct/>
              <w:autoSpaceDE w:val="0"/>
              <w:autoSpaceDN w:val="0"/>
              <w:adjustRightInd/>
              <w:spacing w:after="0" w:line="259" w:lineRule="auto"/>
              <w:ind w:left="72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SL RSSI measurements</w:t>
            </w:r>
          </w:p>
          <w:p>
            <w:pPr>
              <w:widowControl w:val="0"/>
              <w:numPr>
                <w:ilvl w:val="0"/>
                <w:numId w:val="11"/>
              </w:numPr>
              <w:overflowPunct/>
              <w:autoSpaceDE w:val="0"/>
              <w:autoSpaceDN w:val="0"/>
              <w:adjustRightInd/>
              <w:spacing w:after="0" w:line="259" w:lineRule="auto"/>
              <w:ind w:left="720" w:hanging="360"/>
              <w:jc w:val="both"/>
              <w:textAlignment w:val="auto"/>
              <w:rPr>
                <w:rFonts w:ascii="Times New Roman" w:hAnsi="Times New Roman" w:eastAsia="MS Mincho" w:cs="Times New Roman"/>
                <w:sz w:val="22"/>
                <w:szCs w:val="22"/>
                <w:lang w:val="en-US" w:eastAsia="en-US" w:bidi="ar-SA"/>
              </w:rPr>
            </w:pPr>
            <w:r>
              <w:rPr>
                <w:rFonts w:hint="eastAsia" w:ascii="Times New Roman" w:hAnsi="Times New Roman" w:eastAsia="MS Mincho" w:cs="Times New Roman"/>
                <w:sz w:val="22"/>
                <w:szCs w:val="22"/>
                <w:lang w:val="en-US" w:eastAsia="en-US" w:bidi="ar-SA"/>
              </w:rPr>
              <w:t>LTE logical subframe</w:t>
            </w:r>
            <w:r>
              <w:rPr>
                <w:rFonts w:ascii="Times New Roman" w:hAnsi="Times New Roman" w:eastAsia="MS Mincho" w:cs="Times New Roman"/>
                <w:sz w:val="22"/>
                <w:szCs w:val="22"/>
                <w:lang w:val="en-US" w:eastAsia="en-US" w:bidi="ar-SA"/>
              </w:rPr>
              <w:t xml:space="preserve"> related information</w:t>
            </w:r>
          </w:p>
          <w:p>
            <w:pPr>
              <w:widowControl w:val="0"/>
              <w:numPr>
                <w:ilvl w:val="0"/>
                <w:numId w:val="11"/>
              </w:numPr>
              <w:overflowPunct/>
              <w:autoSpaceDE w:val="0"/>
              <w:autoSpaceDN w:val="0"/>
              <w:adjustRightInd/>
              <w:spacing w:after="0" w:line="259" w:lineRule="auto"/>
              <w:ind w:left="72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Resources corresponding to half-duplex subframes which are not monitored by the LTE SL UE</w:t>
            </w:r>
          </w:p>
          <w:p>
            <w:pPr>
              <w:widowControl w:val="0"/>
              <w:numPr>
                <w:ilvl w:val="0"/>
                <w:numId w:val="0"/>
              </w:numPr>
              <w:overflowPunct/>
              <w:autoSpaceDE w:val="0"/>
              <w:autoSpaceDN w:val="0"/>
              <w:adjustRightInd/>
              <w:spacing w:after="0" w:line="240" w:lineRule="auto"/>
              <w:jc w:val="both"/>
              <w:textAlignment w:val="auto"/>
              <w:rPr>
                <w:vertAlign w:val="baseline"/>
                <w:lang w:val="en" w:eastAsia="zh-CN"/>
              </w:rPr>
            </w:pPr>
          </w:p>
        </w:tc>
      </w:tr>
    </w:tbl>
    <w:p>
      <w:pPr>
        <w:widowControl w:val="0"/>
        <w:kinsoku w:val="0"/>
        <w:overflowPunct w:val="0"/>
        <w:adjustRightInd/>
        <w:snapToGrid/>
      </w:pPr>
    </w:p>
    <w:p>
      <w:pPr>
        <w:widowControl w:val="0"/>
        <w:kinsoku w:val="0"/>
        <w:overflowPunct w:val="0"/>
        <w:adjustRightInd/>
        <w:snapToGrid/>
        <w:rPr>
          <w:rFonts w:hint="eastAsia"/>
          <w:bCs/>
          <w:lang w:val="en-US" w:eastAsia="zh-CN"/>
        </w:rPr>
      </w:pPr>
      <w:r>
        <w:t xml:space="preserve">In this contribution, we focus on </w:t>
      </w:r>
      <w:r>
        <w:rPr>
          <w:rFonts w:hint="eastAsia"/>
          <w:lang w:val="en-US" w:eastAsia="zh-CN"/>
        </w:rPr>
        <w:t>the co-channel coexistence for LTE sidelink and NR sidelink</w:t>
      </w:r>
      <w:r>
        <w:rPr>
          <w:rFonts w:hint="eastAsia"/>
          <w:bCs/>
          <w:lang w:val="en-US" w:eastAsia="zh-CN"/>
        </w:rPr>
        <w:t>, including the solution of dynamic resource partitioning.</w:t>
      </w:r>
    </w:p>
    <w:p>
      <w:pPr>
        <w:widowControl w:val="0"/>
        <w:kinsoku w:val="0"/>
        <w:overflowPunct w:val="0"/>
        <w:adjustRightInd/>
        <w:snapToGrid/>
        <w:rPr>
          <w:rFonts w:hint="eastAsia"/>
          <w:bCs/>
          <w:lang w:val="en-US" w:eastAsia="zh-CN"/>
        </w:rPr>
      </w:pPr>
    </w:p>
    <w:p>
      <w:pPr>
        <w:pStyle w:val="2"/>
        <w:rPr>
          <w:rFonts w:hint="default"/>
          <w:lang w:val="en-US" w:eastAsia="zh-CN"/>
        </w:rPr>
      </w:pPr>
      <w:r>
        <w:rPr>
          <w:lang w:eastAsia="zh-CN"/>
        </w:rPr>
        <w:t>Discussion</w:t>
      </w:r>
    </w:p>
    <w:p>
      <w:pPr>
        <w:pStyle w:val="3"/>
        <w:ind w:left="431" w:hanging="431"/>
        <w:rPr>
          <w:rFonts w:hint="eastAsia"/>
          <w:b/>
          <w:i w:val="0"/>
          <w:iCs w:val="0"/>
          <w:strike w:val="0"/>
          <w:dstrike w:val="0"/>
          <w:szCs w:val="28"/>
          <w:lang w:val="en-US" w:eastAsia="zh-CN"/>
        </w:rPr>
      </w:pPr>
      <w:r>
        <w:rPr>
          <w:rFonts w:hint="eastAsia" w:ascii="Times New Roman" w:eastAsia="宋体"/>
          <w:lang w:val="en-US" w:eastAsia="zh-CN"/>
        </w:rPr>
        <w:t>Dynamic</w:t>
      </w:r>
      <w:r>
        <w:rPr>
          <w:rFonts w:hint="default"/>
          <w:lang w:val="en-US" w:eastAsia="zh-CN"/>
        </w:rPr>
        <w:t xml:space="preserve"> resource pool partitioning</w:t>
      </w:r>
      <w:r>
        <w:rPr>
          <w:rFonts w:hint="eastAsia" w:ascii="Times New Roman" w:eastAsia="宋体"/>
          <w:lang w:val="en-US" w:eastAsia="zh-CN"/>
        </w:rPr>
        <w:t xml:space="preserve"> -</w:t>
      </w:r>
      <w:r>
        <w:rPr>
          <w:rFonts w:hint="eastAsia" w:eastAsia="宋体"/>
          <w:lang w:val="en-US" w:eastAsia="zh-CN"/>
        </w:rPr>
        <w:t xml:space="preserve"> Use of LTE sensing</w:t>
      </w:r>
    </w:p>
    <w:p>
      <w:pPr>
        <w:jc w:val="both"/>
        <w:rPr>
          <w:rFonts w:hint="default"/>
          <w:b/>
          <w:i/>
          <w:iCs w:val="0"/>
          <w:strike w:val="0"/>
          <w:dstrike w:val="0"/>
          <w:szCs w:val="20"/>
          <w:lang w:val="en-US" w:eastAsia="zh-CN"/>
        </w:rPr>
      </w:pPr>
      <w:r>
        <w:t xml:space="preserve">A list of parameters that </w:t>
      </w:r>
      <w:r>
        <w:rPr>
          <w:rFonts w:hint="eastAsia"/>
          <w:lang w:val="en-US" w:eastAsia="zh-CN"/>
        </w:rPr>
        <w:t>should</w:t>
      </w:r>
      <w:r>
        <w:t xml:space="preserve"> be shared by the LTE </w:t>
      </w:r>
      <w:r>
        <w:rPr>
          <w:rFonts w:hint="eastAsia"/>
          <w:lang w:val="en-US" w:eastAsia="zh-CN"/>
        </w:rPr>
        <w:t>sidelink</w:t>
      </w:r>
      <w:r>
        <w:t xml:space="preserve"> module has been identified </w:t>
      </w:r>
      <w:r>
        <w:rPr>
          <w:rFonts w:hint="eastAsia"/>
          <w:lang w:val="en-US" w:eastAsia="zh-CN"/>
        </w:rPr>
        <w:t>during the last meeting</w:t>
      </w:r>
      <w:r>
        <w:t xml:space="preserve">, including the time and frequency locations of </w:t>
      </w:r>
      <w:r>
        <w:rPr>
          <w:rFonts w:hint="eastAsia"/>
          <w:lang w:val="en-US" w:eastAsia="zh-CN"/>
        </w:rPr>
        <w:t>LTE transmission, resource reservation periods, SL RSRP and/or SL RSSI measurement results, priority, t</w:t>
      </w:r>
      <w:r>
        <w:rPr>
          <w:rFonts w:ascii="Times New Roman" w:hAnsi="Times New Roman" w:eastAsia="MS Mincho" w:cs="Times New Roman"/>
          <w:sz w:val="22"/>
          <w:szCs w:val="22"/>
          <w:lang w:val="en-US" w:eastAsia="en-US" w:bidi="ar-SA"/>
        </w:rPr>
        <w:t>ime and frequency location of resources used for own LTE SL transmissions</w:t>
      </w:r>
      <w:r>
        <w:rPr>
          <w:rFonts w:hint="eastAsia" w:cs="Times New Roman"/>
          <w:sz w:val="22"/>
          <w:szCs w:val="22"/>
          <w:lang w:val="en-US" w:eastAsia="zh-CN" w:bidi="ar-SA"/>
        </w:rPr>
        <w:t>, c</w:t>
      </w:r>
      <w:r>
        <w:rPr>
          <w:rFonts w:ascii="Times New Roman" w:hAnsi="Times New Roman" w:eastAsia="MS Mincho" w:cs="Times New Roman"/>
          <w:sz w:val="22"/>
          <w:szCs w:val="22"/>
          <w:lang w:val="en-US" w:eastAsia="en-US" w:bidi="ar-SA"/>
        </w:rPr>
        <w:t>andidate resource set S</w:t>
      </w:r>
      <w:r>
        <w:rPr>
          <w:rFonts w:ascii="Times New Roman" w:hAnsi="Times New Roman" w:eastAsia="MS Mincho" w:cs="Times New Roman"/>
          <w:sz w:val="22"/>
          <w:szCs w:val="22"/>
          <w:vertAlign w:val="subscript"/>
          <w:lang w:val="en-US" w:eastAsia="en-US" w:bidi="ar-SA"/>
        </w:rPr>
        <w:t>A</w:t>
      </w:r>
      <w:r>
        <w:rPr>
          <w:rFonts w:ascii="Times New Roman" w:hAnsi="Times New Roman" w:eastAsia="MS Mincho" w:cs="Times New Roman"/>
          <w:sz w:val="22"/>
          <w:szCs w:val="22"/>
          <w:lang w:val="en-US" w:eastAsia="en-US" w:bidi="ar-SA"/>
        </w:rPr>
        <w:t xml:space="preserve"> or S</w:t>
      </w:r>
      <w:r>
        <w:rPr>
          <w:rFonts w:ascii="Times New Roman" w:hAnsi="Times New Roman" w:eastAsia="MS Mincho" w:cs="Times New Roman"/>
          <w:sz w:val="22"/>
          <w:szCs w:val="22"/>
          <w:vertAlign w:val="subscript"/>
          <w:lang w:val="en-US" w:eastAsia="en-US" w:bidi="ar-SA"/>
        </w:rPr>
        <w:t>B</w:t>
      </w:r>
      <w:r>
        <w:rPr>
          <w:rFonts w:hint="eastAsia" w:cs="Times New Roman"/>
          <w:sz w:val="22"/>
          <w:szCs w:val="22"/>
          <w:vertAlign w:val="baseline"/>
          <w:lang w:val="en-US" w:eastAsia="zh-CN" w:bidi="ar-SA"/>
        </w:rPr>
        <w:t>,</w:t>
      </w:r>
      <w:r>
        <w:rPr>
          <w:rFonts w:hint="eastAsia" w:cs="Times New Roman"/>
          <w:sz w:val="22"/>
          <w:szCs w:val="22"/>
          <w:vertAlign w:val="subscript"/>
          <w:lang w:val="en-US" w:eastAsia="zh-CN" w:bidi="ar-SA"/>
        </w:rPr>
        <w:t xml:space="preserve"> </w:t>
      </w:r>
      <w:r>
        <w:rPr>
          <w:rFonts w:hint="eastAsia" w:ascii="Times New Roman" w:hAnsi="Times New Roman" w:eastAsia="MS Mincho" w:cs="Times New Roman"/>
          <w:sz w:val="22"/>
          <w:szCs w:val="22"/>
          <w:lang w:val="en-US" w:eastAsia="en-US" w:bidi="ar-SA"/>
        </w:rPr>
        <w:t>LTE logical subframe</w:t>
      </w:r>
      <w:r>
        <w:rPr>
          <w:rFonts w:ascii="Times New Roman" w:hAnsi="Times New Roman" w:eastAsia="MS Mincho" w:cs="Times New Roman"/>
          <w:sz w:val="22"/>
          <w:szCs w:val="22"/>
          <w:lang w:val="en-US" w:eastAsia="en-US" w:bidi="ar-SA"/>
        </w:rPr>
        <w:t xml:space="preserve"> related information</w:t>
      </w:r>
      <w:r>
        <w:t xml:space="preserve"> and subframes that are not monitored by the LTE </w:t>
      </w:r>
      <w:r>
        <w:rPr>
          <w:rFonts w:hint="eastAsia"/>
          <w:lang w:val="en-US" w:eastAsia="zh-CN"/>
        </w:rPr>
        <w:t>sidelink</w:t>
      </w:r>
      <w:r>
        <w:t xml:space="preserve"> UE due to half-duplex constraints. </w:t>
      </w:r>
      <w:r>
        <w:rPr>
          <w:rFonts w:hint="eastAsia"/>
          <w:lang w:val="en-US" w:eastAsia="zh-CN"/>
        </w:rPr>
        <w:t>Among them, t</w:t>
      </w:r>
      <w:r>
        <w:rPr>
          <w:rFonts w:hint="eastAsia"/>
        </w:rPr>
        <w:t>he parameters</w:t>
      </w:r>
      <w:r>
        <w:rPr>
          <w:rFonts w:hint="eastAsia"/>
          <w:lang w:val="en-US" w:eastAsia="zh-CN"/>
        </w:rPr>
        <w:t xml:space="preserve"> </w:t>
      </w:r>
      <w:r>
        <w:rPr>
          <w:rFonts w:hint="default"/>
          <w:lang w:val="en-US" w:eastAsia="zh-CN"/>
        </w:rPr>
        <w:t>“</w:t>
      </w:r>
      <w:r>
        <w:t xml:space="preserve">the time and frequency locations of </w:t>
      </w:r>
      <w:r>
        <w:rPr>
          <w:rFonts w:hint="eastAsia"/>
          <w:lang w:val="en-US" w:eastAsia="zh-CN"/>
        </w:rPr>
        <w:t>LTE transmission, resource reservation periods</w:t>
      </w:r>
      <w:r>
        <w:rPr>
          <w:rFonts w:hint="default"/>
          <w:lang w:val="en-US" w:eastAsia="zh-CN"/>
        </w:rPr>
        <w:t>”</w:t>
      </w:r>
      <w:r>
        <w:rPr>
          <w:rFonts w:hint="eastAsia"/>
          <w:lang w:val="en-US" w:eastAsia="zh-CN"/>
        </w:rPr>
        <w:t xml:space="preserve"> are used by the LTE sidelink module to </w:t>
      </w:r>
      <w:r>
        <w:rPr>
          <w:rFonts w:hint="eastAsia"/>
        </w:rPr>
        <w:t xml:space="preserve">determine the resources reserved for other LTE </w:t>
      </w:r>
      <w:r>
        <w:rPr>
          <w:rFonts w:hint="eastAsia"/>
          <w:lang w:val="en-US" w:eastAsia="zh-CN"/>
        </w:rPr>
        <w:t>sidelink</w:t>
      </w:r>
      <w:r>
        <w:rPr>
          <w:rFonts w:hint="eastAsia"/>
        </w:rPr>
        <w:t xml:space="preserve"> </w:t>
      </w:r>
      <w:r>
        <w:rPr>
          <w:rFonts w:hint="eastAsia"/>
          <w:lang w:val="en-US" w:eastAsia="zh-CN"/>
        </w:rPr>
        <w:t>UEs. Other parameters such as "SL RSRP measurement results, priority" are used by the LTE sidelink module to exclude resources reserved by other LTE sidelink UEs from the available resources. The last parameter "Resources corresponding to half-duplex subframes which are not monitored by the LTE SL UE" can be used to indicate the resources that are not sensed by the LTE sidelink module. In summary, the above parameters are useful for dynamic resource pool sharing. Regarding how and when to</w:t>
      </w:r>
      <w:r>
        <w:t xml:space="preserve"> shar</w:t>
      </w:r>
      <w:r>
        <w:rPr>
          <w:rFonts w:hint="eastAsia"/>
          <w:lang w:val="en-US" w:eastAsia="zh-CN"/>
        </w:rPr>
        <w:t>e these sensing and resource reservation information, that</w:t>
      </w:r>
      <w:r>
        <w:t xml:space="preserve"> can be </w:t>
      </w:r>
      <w:r>
        <w:rPr>
          <w:rFonts w:hint="eastAsia"/>
          <w:lang w:val="en-US" w:eastAsia="zh-CN"/>
        </w:rPr>
        <w:t>left for implementation</w:t>
      </w:r>
      <w:r>
        <w:t xml:space="preserve">. </w:t>
      </w:r>
    </w:p>
    <w:p>
      <w:pPr>
        <w:pStyle w:val="61"/>
        <w:numPr>
          <w:ilvl w:val="0"/>
          <w:numId w:val="0"/>
        </w:numPr>
        <w:ind w:leftChars="0"/>
        <w:jc w:val="both"/>
        <w:rPr>
          <w:rFonts w:hint="eastAsia"/>
          <w:b/>
          <w:i/>
          <w:iCs w:val="0"/>
          <w:strike w:val="0"/>
          <w:dstrike w:val="0"/>
          <w:szCs w:val="20"/>
          <w:lang w:val="en-US" w:eastAsia="zh-CN"/>
        </w:rPr>
      </w:pPr>
      <w:r>
        <w:rPr>
          <w:rFonts w:hint="eastAsia"/>
          <w:b/>
          <w:i/>
          <w:iCs w:val="0"/>
          <w:strike w:val="0"/>
          <w:dstrike w:val="0"/>
          <w:szCs w:val="20"/>
          <w:lang w:val="en-US" w:eastAsia="zh-CN"/>
        </w:rPr>
        <w:t>Proposal 1: For co-channel coexistence in Rel-18, for the study of dynamic resource pool sharing, the information shared by the LTE SL module to the NR SL module contains at least the following parameters:</w:t>
      </w:r>
    </w:p>
    <w:p>
      <w:pPr>
        <w:pStyle w:val="61"/>
        <w:numPr>
          <w:ilvl w:val="0"/>
          <w:numId w:val="12"/>
        </w:numPr>
        <w:ind w:left="840" w:leftChars="0" w:hanging="420" w:firstLineChars="0"/>
        <w:jc w:val="both"/>
        <w:rPr>
          <w:rFonts w:ascii="Times New Roman" w:hAnsi="Times New Roman" w:eastAsia="MS Mincho"/>
          <w:b/>
          <w:i/>
          <w:iCs/>
          <w:color w:val="auto"/>
          <w:szCs w:val="24"/>
          <w:lang w:val="en-GB"/>
        </w:rPr>
      </w:pPr>
      <w:r>
        <w:rPr>
          <w:rFonts w:ascii="Times New Roman" w:hAnsi="Times New Roman" w:eastAsia="MS Mincho"/>
          <w:b/>
          <w:i/>
          <w:iCs/>
          <w:color w:val="auto"/>
          <w:szCs w:val="24"/>
          <w:lang w:val="en-GB"/>
        </w:rPr>
        <w:t>LTE sensing results include</w:t>
      </w:r>
    </w:p>
    <w:p>
      <w:pPr>
        <w:pStyle w:val="61"/>
        <w:numPr>
          <w:ilvl w:val="0"/>
          <w:numId w:val="13"/>
        </w:numPr>
        <w:ind w:left="1260" w:leftChars="0" w:hanging="420" w:firstLineChars="0"/>
        <w:jc w:val="both"/>
        <w:rPr>
          <w:rFonts w:ascii="Times New Roman" w:hAnsi="Times New Roman" w:eastAsia="MS Mincho"/>
          <w:b/>
          <w:i/>
          <w:iCs/>
          <w:color w:val="auto"/>
          <w:szCs w:val="24"/>
          <w:lang w:val="en-GB"/>
        </w:rPr>
      </w:pPr>
      <w:r>
        <w:rPr>
          <w:rFonts w:ascii="Times New Roman" w:hAnsi="Times New Roman" w:eastAsia="MS Mincho"/>
          <w:b/>
          <w:i/>
          <w:iCs/>
          <w:color w:val="auto"/>
          <w:szCs w:val="24"/>
          <w:lang w:val="en-GB"/>
        </w:rPr>
        <w:t>Time and frequency locations of LTE transmissions</w:t>
      </w:r>
    </w:p>
    <w:p>
      <w:pPr>
        <w:pStyle w:val="61"/>
        <w:numPr>
          <w:ilvl w:val="0"/>
          <w:numId w:val="13"/>
        </w:numPr>
        <w:ind w:left="1260" w:leftChars="0" w:hanging="420" w:firstLineChars="0"/>
        <w:jc w:val="both"/>
        <w:rPr>
          <w:rFonts w:ascii="Times New Roman" w:hAnsi="Times New Roman" w:eastAsia="MS Mincho"/>
          <w:b/>
          <w:i/>
          <w:iCs/>
          <w:color w:val="auto"/>
          <w:szCs w:val="24"/>
          <w:lang w:val="en-GB"/>
        </w:rPr>
      </w:pPr>
      <w:r>
        <w:rPr>
          <w:rFonts w:ascii="Times New Roman" w:hAnsi="Times New Roman" w:eastAsia="MS Mincho"/>
          <w:b/>
          <w:i/>
          <w:iCs/>
          <w:color w:val="auto"/>
          <w:szCs w:val="24"/>
          <w:lang w:val="en-GB"/>
        </w:rPr>
        <w:t>Resource reservation periods</w:t>
      </w:r>
    </w:p>
    <w:p>
      <w:pPr>
        <w:pStyle w:val="61"/>
        <w:numPr>
          <w:ilvl w:val="0"/>
          <w:numId w:val="13"/>
        </w:numPr>
        <w:ind w:left="1260" w:leftChars="0" w:hanging="420" w:firstLineChars="0"/>
        <w:jc w:val="both"/>
        <w:rPr>
          <w:rFonts w:ascii="Times New Roman" w:hAnsi="Times New Roman" w:eastAsia="MS Mincho"/>
          <w:b/>
          <w:i/>
          <w:iCs/>
          <w:color w:val="auto"/>
          <w:szCs w:val="24"/>
          <w:lang w:val="en-GB"/>
        </w:rPr>
      </w:pPr>
      <w:r>
        <w:rPr>
          <w:rFonts w:ascii="Times New Roman" w:hAnsi="Times New Roman" w:eastAsia="MS Mincho"/>
          <w:b/>
          <w:i/>
          <w:iCs/>
          <w:color w:val="auto"/>
          <w:szCs w:val="24"/>
          <w:lang w:val="en-GB"/>
        </w:rPr>
        <w:t>SL RSRP measurement results</w:t>
      </w:r>
    </w:p>
    <w:p>
      <w:pPr>
        <w:pStyle w:val="61"/>
        <w:numPr>
          <w:ilvl w:val="0"/>
          <w:numId w:val="13"/>
        </w:numPr>
        <w:ind w:left="1260" w:leftChars="0" w:hanging="420" w:firstLineChars="0"/>
        <w:jc w:val="both"/>
        <w:rPr>
          <w:rFonts w:ascii="Times New Roman" w:hAnsi="Times New Roman" w:eastAsia="MS Mincho"/>
          <w:b/>
          <w:i/>
          <w:iCs/>
          <w:color w:val="auto"/>
          <w:szCs w:val="24"/>
          <w:lang w:val="en-GB"/>
        </w:rPr>
      </w:pPr>
      <w:r>
        <w:rPr>
          <w:rFonts w:ascii="Times New Roman" w:hAnsi="Times New Roman" w:eastAsia="MS Mincho"/>
          <w:b/>
          <w:i/>
          <w:iCs/>
          <w:color w:val="auto"/>
          <w:szCs w:val="24"/>
          <w:lang w:val="en-GB"/>
        </w:rPr>
        <w:t>Priority</w:t>
      </w:r>
    </w:p>
    <w:p>
      <w:pPr>
        <w:pStyle w:val="61"/>
        <w:numPr>
          <w:ilvl w:val="0"/>
          <w:numId w:val="13"/>
        </w:numPr>
        <w:ind w:left="1260" w:leftChars="0" w:hanging="420" w:firstLineChars="0"/>
        <w:jc w:val="both"/>
        <w:rPr>
          <w:rFonts w:hint="default"/>
          <w:b/>
          <w:i/>
          <w:iCs w:val="0"/>
          <w:strike w:val="0"/>
          <w:dstrike w:val="0"/>
          <w:szCs w:val="20"/>
          <w:lang w:val="en-US" w:eastAsia="zh-CN"/>
        </w:rPr>
      </w:pPr>
      <w:r>
        <w:rPr>
          <w:rFonts w:ascii="Times New Roman" w:hAnsi="Times New Roman" w:eastAsia="MS Mincho"/>
          <w:b/>
          <w:i/>
          <w:iCs/>
          <w:color w:val="auto"/>
          <w:szCs w:val="24"/>
          <w:lang w:val="en-GB"/>
        </w:rPr>
        <w:t>Resources corresponding to half-duplex subframes which are not monitored by the LTE SL UE</w:t>
      </w:r>
    </w:p>
    <w:p>
      <w:pPr>
        <w:pStyle w:val="61"/>
        <w:numPr>
          <w:ilvl w:val="0"/>
          <w:numId w:val="0"/>
        </w:numPr>
        <w:spacing w:after="120" w:line="240" w:lineRule="auto"/>
        <w:jc w:val="both"/>
        <w:rPr>
          <w:rFonts w:hint="eastAsia"/>
          <w:b w:val="0"/>
          <w:bCs w:val="0"/>
          <w:i w:val="0"/>
          <w:iCs w:val="0"/>
          <w:lang w:val="en-US" w:eastAsia="zh-CN"/>
        </w:rPr>
      </w:pPr>
    </w:p>
    <w:p>
      <w:pPr>
        <w:widowControl w:val="0"/>
        <w:kinsoku w:val="0"/>
        <w:overflowPunct w:val="0"/>
        <w:adjustRightInd/>
        <w:snapToGrid/>
        <w:rPr>
          <w:rFonts w:hint="eastAsia"/>
          <w:b/>
          <w:i/>
          <w:iCs w:val="0"/>
          <w:strike w:val="0"/>
          <w:dstrike w:val="0"/>
          <w:szCs w:val="20"/>
          <w:lang w:val="en-US" w:eastAsia="zh-CN"/>
        </w:rPr>
      </w:pPr>
      <w:r>
        <w:rPr>
          <w:rFonts w:hint="eastAsia"/>
          <w:lang w:val="en-US" w:eastAsia="zh-CN"/>
        </w:rPr>
        <w:t>In RAN1#112</w:t>
      </w:r>
      <w:r>
        <w:rPr>
          <w:lang w:eastAsia="zh-CN"/>
        </w:rPr>
        <w:t xml:space="preserve"> meeting,</w:t>
      </w:r>
      <w:r>
        <w:rPr>
          <w:rFonts w:hint="eastAsia"/>
          <w:lang w:val="en-US" w:eastAsia="zh-CN"/>
        </w:rPr>
        <w:t xml:space="preserve"> the following agreement was made: [</w:t>
      </w:r>
      <w:r>
        <w:rPr>
          <w:rFonts w:hint="eastAsia"/>
          <w:highlight w:val="none"/>
          <w:lang w:val="en-US" w:eastAsia="zh-CN"/>
        </w:rPr>
        <w:t>3</w:t>
      </w:r>
      <w:r>
        <w:rPr>
          <w:rFonts w:hint="eastAsia"/>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widowControl w:val="0"/>
              <w:autoSpaceDE/>
              <w:autoSpaceDN/>
              <w:adjustRightInd/>
              <w:snapToGrid/>
              <w:spacing w:after="0"/>
              <w:jc w:val="both"/>
              <w:rPr>
                <w:rFonts w:ascii="Times New Roman" w:hAnsi="Times New Roman" w:eastAsia="Batang" w:cs="Times New Roman"/>
                <w:sz w:val="22"/>
                <w:szCs w:val="22"/>
                <w:lang w:val="en-GB" w:eastAsia="zh-CN"/>
              </w:rPr>
            </w:pPr>
            <w:r>
              <w:rPr>
                <w:rFonts w:ascii="Times New Roman" w:hAnsi="Times New Roman" w:eastAsia="Batang" w:cs="Times New Roman"/>
                <w:sz w:val="22"/>
                <w:szCs w:val="22"/>
                <w:highlight w:val="green"/>
                <w:lang w:val="en-GB"/>
              </w:rPr>
              <w:t>Agreement</w:t>
            </w:r>
          </w:p>
          <w:p>
            <w:pPr>
              <w:widowControl w:val="0"/>
              <w:autoSpaceDE/>
              <w:autoSpaceDN/>
              <w:adjustRightInd/>
              <w:snapToGrid/>
              <w:spacing w:after="0"/>
              <w:jc w:val="both"/>
              <w:rPr>
                <w:rFonts w:ascii="Times New Roman" w:hAnsi="Times New Roman" w:eastAsia="MS Mincho" w:cs="Times New Roman"/>
                <w:sz w:val="22"/>
                <w:szCs w:val="22"/>
                <w:lang w:val="en-GB" w:eastAsia="zh-CN"/>
              </w:rPr>
            </w:pPr>
            <w:r>
              <w:rPr>
                <w:rFonts w:ascii="Times New Roman" w:hAnsi="Times New Roman" w:eastAsia="MS Mincho" w:cs="Times New Roman"/>
                <w:sz w:val="22"/>
                <w:szCs w:val="22"/>
                <w:lang w:val="en-GB" w:eastAsia="zh-CN"/>
              </w:rPr>
              <w:t xml:space="preserve">In NR SL resource (re)selection procedure, option 1 is adopted for how to determine candidate resource set for NR SL considering the LTE SL reserved resources by other LTE SL UE </w:t>
            </w:r>
          </w:p>
          <w:p>
            <w:pPr>
              <w:widowControl w:val="0"/>
              <w:numPr>
                <w:ilvl w:val="0"/>
                <w:numId w:val="14"/>
              </w:numPr>
              <w:autoSpaceDE/>
              <w:autoSpaceDN/>
              <w:adjustRightInd/>
              <w:snapToGrid/>
              <w:spacing w:after="0"/>
              <w:ind w:left="720" w:hanging="360"/>
              <w:jc w:val="both"/>
              <w:rPr>
                <w:rFonts w:ascii="Times New Roman" w:hAnsi="Times New Roman" w:eastAsia="MS Mincho" w:cs="Times New Roman"/>
                <w:sz w:val="22"/>
                <w:szCs w:val="22"/>
                <w:lang w:val="en-GB" w:eastAsia="zh-CN"/>
              </w:rPr>
            </w:pPr>
            <w:r>
              <w:rPr>
                <w:rFonts w:ascii="Times New Roman" w:hAnsi="Times New Roman" w:eastAsia="MS Mincho" w:cs="Times New Roman"/>
                <w:sz w:val="22"/>
                <w:szCs w:val="22"/>
                <w:lang w:val="en-GB" w:eastAsia="zh-CN"/>
              </w:rPr>
              <w:t xml:space="preserve">Option 1: </w:t>
            </w:r>
            <w:r>
              <w:rPr>
                <w:rFonts w:ascii="Times New Roman" w:hAnsi="Times New Roman" w:eastAsia="Malgun Gothic" w:cs="Times New Roman"/>
                <w:sz w:val="22"/>
                <w:szCs w:val="22"/>
                <w:lang w:val="en-GB" w:eastAsia="ko-KR"/>
              </w:rPr>
              <w:t>T</w:t>
            </w:r>
            <w:r>
              <w:rPr>
                <w:rFonts w:ascii="Times New Roman" w:hAnsi="Times New Roman" w:eastAsia="MS Mincho" w:cs="Times New Roman"/>
                <w:sz w:val="22"/>
                <w:szCs w:val="22"/>
                <w:lang w:val="en-GB" w:eastAsia="zh-CN"/>
              </w:rPr>
              <w: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pPr>
              <w:widowControl w:val="0"/>
              <w:numPr>
                <w:ilvl w:val="1"/>
                <w:numId w:val="14"/>
              </w:numPr>
              <w:autoSpaceDE/>
              <w:autoSpaceDN/>
              <w:adjustRightInd/>
              <w:snapToGrid/>
              <w:spacing w:after="0"/>
              <w:ind w:left="1440" w:hanging="360"/>
              <w:jc w:val="both"/>
              <w:rPr>
                <w:rFonts w:ascii="Times New Roman" w:hAnsi="Times New Roman" w:eastAsia="MS Mincho" w:cs="Times New Roman"/>
                <w:sz w:val="22"/>
                <w:szCs w:val="22"/>
                <w:lang w:val="en-GB" w:eastAsia="zh-CN"/>
              </w:rPr>
            </w:pPr>
            <w:r>
              <w:rPr>
                <w:rFonts w:ascii="Times New Roman" w:hAnsi="Times New Roman" w:eastAsia="MS Mincho" w:cs="Times New Roman"/>
                <w:sz w:val="22"/>
                <w:szCs w:val="22"/>
                <w:lang w:val="en-GB" w:eastAsia="zh-CN"/>
              </w:rPr>
              <w:t>For the list of the above initial SL RSRP threshold, down-select one of followings:</w:t>
            </w:r>
          </w:p>
          <w:p>
            <w:pPr>
              <w:widowControl w:val="0"/>
              <w:numPr>
                <w:ilvl w:val="2"/>
                <w:numId w:val="14"/>
              </w:numPr>
              <w:autoSpaceDE/>
              <w:autoSpaceDN/>
              <w:adjustRightInd/>
              <w:snapToGrid/>
              <w:spacing w:after="0"/>
              <w:ind w:left="2160" w:hanging="360"/>
              <w:jc w:val="both"/>
              <w:rPr>
                <w:rFonts w:ascii="Times New Roman" w:hAnsi="Times New Roman" w:eastAsia="MS Mincho" w:cs="Times New Roman"/>
                <w:sz w:val="22"/>
                <w:szCs w:val="22"/>
                <w:lang w:val="en-GB" w:eastAsia="zh-CN"/>
              </w:rPr>
            </w:pPr>
            <w:r>
              <w:rPr>
                <w:rFonts w:ascii="Times New Roman" w:hAnsi="Times New Roman" w:eastAsia="MS Mincho" w:cs="Times New Roman"/>
                <w:sz w:val="22"/>
                <w:szCs w:val="22"/>
                <w:lang w:val="en-GB" w:eastAsia="zh-CN"/>
              </w:rPr>
              <w:t>Alt 1: NR SL RSRP threshold list (pre)configured in a NR SL resource pool</w:t>
            </w:r>
          </w:p>
          <w:p>
            <w:pPr>
              <w:widowControl w:val="0"/>
              <w:numPr>
                <w:ilvl w:val="2"/>
                <w:numId w:val="14"/>
              </w:numPr>
              <w:autoSpaceDE/>
              <w:autoSpaceDN/>
              <w:adjustRightInd/>
              <w:snapToGrid/>
              <w:spacing w:after="0"/>
              <w:ind w:left="2160" w:hanging="360"/>
              <w:jc w:val="both"/>
              <w:rPr>
                <w:rFonts w:ascii="Times New Roman" w:hAnsi="Times New Roman" w:eastAsia="MS Mincho" w:cs="Times New Roman"/>
                <w:sz w:val="22"/>
                <w:szCs w:val="22"/>
                <w:lang w:val="en-GB" w:eastAsia="zh-CN"/>
              </w:rPr>
            </w:pPr>
            <w:r>
              <w:rPr>
                <w:rFonts w:ascii="Times New Roman" w:hAnsi="Times New Roman" w:eastAsia="MS Mincho" w:cs="Times New Roman"/>
                <w:sz w:val="22"/>
                <w:szCs w:val="22"/>
                <w:lang w:val="en-GB" w:eastAsia="zh-CN"/>
              </w:rPr>
              <w:t>Alt 2: LTE SL RSRP threshold list (pre)configured in a LTE SL resource pool</w:t>
            </w:r>
          </w:p>
          <w:p>
            <w:pPr>
              <w:widowControl w:val="0"/>
              <w:numPr>
                <w:ilvl w:val="2"/>
                <w:numId w:val="14"/>
              </w:numPr>
              <w:autoSpaceDE/>
              <w:autoSpaceDN/>
              <w:adjustRightInd/>
              <w:snapToGrid/>
              <w:spacing w:after="0"/>
              <w:ind w:left="2160" w:hanging="360"/>
              <w:jc w:val="both"/>
              <w:rPr>
                <w:rFonts w:ascii="Times New Roman" w:hAnsi="Times New Roman" w:eastAsia="MS Mincho" w:cs="Times New Roman"/>
                <w:sz w:val="22"/>
                <w:szCs w:val="22"/>
                <w:lang w:val="en-GB" w:eastAsia="zh-CN"/>
              </w:rPr>
            </w:pPr>
            <w:r>
              <w:rPr>
                <w:rFonts w:ascii="Times New Roman" w:hAnsi="Times New Roman" w:eastAsia="MS Mincho" w:cs="Times New Roman"/>
                <w:sz w:val="22"/>
                <w:szCs w:val="22"/>
                <w:lang w:val="en-GB" w:eastAsia="zh-CN"/>
              </w:rPr>
              <w:t>Alt 3: SL RSRP threshold list separately (pre)configured for dynamic resource pool sharing</w:t>
            </w:r>
          </w:p>
          <w:p>
            <w:pPr>
              <w:widowControl w:val="0"/>
              <w:numPr>
                <w:ilvl w:val="2"/>
                <w:numId w:val="14"/>
              </w:numPr>
              <w:autoSpaceDE/>
              <w:autoSpaceDN/>
              <w:adjustRightInd/>
              <w:snapToGrid/>
              <w:spacing w:after="0"/>
              <w:ind w:left="2160" w:hanging="360"/>
              <w:jc w:val="both"/>
              <w:rPr>
                <w:rFonts w:ascii="Times New Roman" w:hAnsi="Times New Roman" w:eastAsia="MS Mincho" w:cs="Times New Roman"/>
                <w:sz w:val="22"/>
                <w:szCs w:val="22"/>
                <w:lang w:val="en-GB" w:eastAsia="zh-CN"/>
              </w:rPr>
            </w:pPr>
            <w:r>
              <w:rPr>
                <w:rFonts w:ascii="Times New Roman" w:hAnsi="Times New Roman" w:eastAsia="MS Mincho" w:cs="Times New Roman"/>
                <w:sz w:val="22"/>
                <w:szCs w:val="22"/>
                <w:lang w:val="en-GB" w:eastAsia="zh-CN"/>
              </w:rPr>
              <w:t>Alt 4: SL RSRP threshold list separately (pre)configured for dynamic resource pool sharing</w:t>
            </w:r>
          </w:p>
          <w:p>
            <w:pPr>
              <w:widowControl w:val="0"/>
              <w:numPr>
                <w:ilvl w:val="3"/>
                <w:numId w:val="14"/>
              </w:numPr>
              <w:autoSpaceDE/>
              <w:autoSpaceDN/>
              <w:adjustRightInd/>
              <w:snapToGrid/>
              <w:spacing w:after="0"/>
              <w:ind w:left="2880" w:hanging="360"/>
              <w:jc w:val="both"/>
              <w:rPr>
                <w:rFonts w:ascii="Times New Roman" w:hAnsi="Times New Roman" w:eastAsia="MS Mincho" w:cs="Times New Roman"/>
                <w:sz w:val="22"/>
                <w:szCs w:val="22"/>
                <w:lang w:val="en-GB" w:eastAsia="zh-CN"/>
              </w:rPr>
            </w:pPr>
            <w:r>
              <w:rPr>
                <w:rFonts w:ascii="Times New Roman" w:hAnsi="Times New Roman" w:eastAsia="MS Mincho" w:cs="Times New Roman"/>
                <w:sz w:val="22"/>
                <w:szCs w:val="22"/>
                <w:lang w:val="en-GB" w:eastAsia="zh-CN"/>
              </w:rPr>
              <w:t>A different SL RSRP threshold list may be (pre)configured for selecting single slot resources in NR SL slots with NR PSFCH</w:t>
            </w:r>
          </w:p>
          <w:p>
            <w:pPr>
              <w:widowControl w:val="0"/>
              <w:numPr>
                <w:ilvl w:val="1"/>
                <w:numId w:val="14"/>
              </w:numPr>
              <w:autoSpaceDE/>
              <w:autoSpaceDN/>
              <w:adjustRightInd/>
              <w:snapToGrid/>
              <w:spacing w:after="0"/>
              <w:ind w:left="1440" w:hanging="360"/>
              <w:jc w:val="both"/>
              <w:rPr>
                <w:rFonts w:ascii="Times New Roman" w:hAnsi="Times New Roman" w:eastAsia="MS Mincho" w:cs="Times New Roman"/>
                <w:sz w:val="22"/>
                <w:szCs w:val="22"/>
                <w:lang w:val="en-GB" w:eastAsia="zh-CN"/>
              </w:rPr>
            </w:pPr>
            <w:r>
              <w:rPr>
                <w:rFonts w:ascii="Times New Roman" w:hAnsi="Times New Roman" w:eastAsia="MS Mincho" w:cs="Times New Roman"/>
                <w:sz w:val="22"/>
                <w:szCs w:val="22"/>
                <w:lang w:val="en-GB" w:eastAsia="zh-CN"/>
              </w:rPr>
              <w:t xml:space="preserve">For the LTE SL periodic reserved resources by other LTE SL UE, </w:t>
            </w:r>
          </w:p>
          <w:p>
            <w:pPr>
              <w:widowControl w:val="0"/>
              <w:numPr>
                <w:ilvl w:val="2"/>
                <w:numId w:val="14"/>
              </w:numPr>
              <w:autoSpaceDE/>
              <w:autoSpaceDN/>
              <w:adjustRightInd/>
              <w:snapToGrid/>
              <w:spacing w:after="0"/>
              <w:ind w:left="2160" w:hanging="360"/>
              <w:jc w:val="both"/>
              <w:rPr>
                <w:rFonts w:ascii="Times New Roman" w:hAnsi="Times New Roman" w:eastAsia="MS Mincho" w:cs="Times New Roman"/>
                <w:sz w:val="22"/>
                <w:szCs w:val="22"/>
                <w:lang w:val="en-GB" w:eastAsia="zh-CN"/>
              </w:rPr>
            </w:pPr>
            <w:r>
              <w:rPr>
                <w:rFonts w:ascii="Times New Roman" w:hAnsi="Times New Roman" w:eastAsia="MS Mincho" w:cs="Times New Roman"/>
                <w:sz w:val="22"/>
                <w:szCs w:val="22"/>
                <w:lang w:val="en-GB" w:eastAsia="zh-CN"/>
              </w:rPr>
              <w:t>For determining the above LTE SL reserved resources, the time-and-frequency resources of LTE SL reserved resources by other LTE SL UE are repeated Q times according to the LTE SL resource reservation period</w:t>
            </w:r>
          </w:p>
          <w:p>
            <w:pPr>
              <w:widowControl w:val="0"/>
              <w:numPr>
                <w:ilvl w:val="3"/>
                <w:numId w:val="14"/>
              </w:numPr>
              <w:autoSpaceDE/>
              <w:autoSpaceDN/>
              <w:adjustRightInd/>
              <w:snapToGrid/>
              <w:spacing w:after="0"/>
              <w:ind w:left="2880" w:hanging="360"/>
              <w:jc w:val="both"/>
              <w:rPr>
                <w:rFonts w:ascii="Times New Roman" w:hAnsi="Times New Roman" w:eastAsia="MS Mincho" w:cs="Times New Roman"/>
                <w:sz w:val="22"/>
                <w:szCs w:val="22"/>
                <w:lang w:val="en-GB" w:eastAsia="zh-CN"/>
              </w:rPr>
            </w:pPr>
            <w:r>
              <w:rPr>
                <w:rFonts w:ascii="Times New Roman" w:hAnsi="Times New Roman" w:eastAsia="等线" w:cs="Times New Roman"/>
                <w:sz w:val="22"/>
                <w:szCs w:val="22"/>
                <w:lang w:val="en-GB" w:eastAsia="ko-KR"/>
              </w:rPr>
              <w:t xml:space="preserve">FFS details including at least whether the formula of Q in Section 14.1.1.6 in TS 36.213 or the formula of Q in Section 8.1.4 in TS 38.214 is used </w:t>
            </w:r>
          </w:p>
          <w:p>
            <w:pPr>
              <w:widowControl w:val="0"/>
              <w:numPr>
                <w:ilvl w:val="1"/>
                <w:numId w:val="14"/>
              </w:numPr>
              <w:autoSpaceDE/>
              <w:autoSpaceDN/>
              <w:adjustRightInd/>
              <w:snapToGrid/>
              <w:spacing w:after="0"/>
              <w:ind w:left="1440" w:hanging="360"/>
              <w:jc w:val="both"/>
              <w:rPr>
                <w:rFonts w:ascii="Times New Roman" w:hAnsi="Times New Roman" w:eastAsia="MS Mincho" w:cs="Times New Roman"/>
                <w:sz w:val="22"/>
                <w:szCs w:val="22"/>
                <w:lang w:val="en-GB" w:eastAsia="zh-CN"/>
              </w:rPr>
            </w:pPr>
            <w:r>
              <w:rPr>
                <w:rFonts w:ascii="Times New Roman" w:hAnsi="Times New Roman" w:eastAsia="MS Mincho" w:cs="Times New Roman"/>
                <w:sz w:val="22"/>
                <w:szCs w:val="22"/>
                <w:lang w:val="en-GB" w:eastAsia="zh-CN"/>
              </w:rPr>
              <w:t>The PHY layer of NR module applies the above procedure in Step 6 in Section 8.1.4 of TS 38.214</w:t>
            </w:r>
          </w:p>
          <w:p>
            <w:pPr>
              <w:widowControl w:val="0"/>
              <w:numPr>
                <w:ilvl w:val="2"/>
                <w:numId w:val="14"/>
              </w:numPr>
              <w:autoSpaceDE/>
              <w:autoSpaceDN/>
              <w:adjustRightInd/>
              <w:snapToGrid/>
              <w:spacing w:after="0"/>
              <w:ind w:left="2160" w:hanging="360"/>
              <w:jc w:val="both"/>
              <w:rPr>
                <w:rFonts w:ascii="Times New Roman" w:hAnsi="Times New Roman" w:eastAsia="MS Mincho" w:cs="Times New Roman"/>
                <w:sz w:val="22"/>
                <w:szCs w:val="22"/>
                <w:lang w:val="en-GB" w:eastAsia="zh-CN"/>
              </w:rPr>
            </w:pPr>
            <w:r>
              <w:rPr>
                <w:rFonts w:ascii="Times New Roman" w:hAnsi="Times New Roman" w:eastAsia="MS Mincho" w:cs="Times New Roman"/>
                <w:sz w:val="22"/>
                <w:szCs w:val="22"/>
                <w:lang w:val="en-GB" w:eastAsia="zh-CN"/>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pPr>
              <w:widowControl w:val="0"/>
              <w:numPr>
                <w:ilvl w:val="1"/>
                <w:numId w:val="14"/>
              </w:numPr>
              <w:autoSpaceDE/>
              <w:autoSpaceDN/>
              <w:adjustRightInd/>
              <w:snapToGrid/>
              <w:spacing w:after="0"/>
              <w:ind w:left="1440" w:hanging="360"/>
              <w:jc w:val="both"/>
              <w:rPr>
                <w:rFonts w:ascii="Times New Roman" w:hAnsi="Times New Roman" w:eastAsia="MS Mincho" w:cs="Times New Roman"/>
                <w:sz w:val="22"/>
                <w:szCs w:val="22"/>
                <w:lang w:val="en-GB" w:eastAsia="zh-CN"/>
              </w:rPr>
            </w:pPr>
            <w:r>
              <w:rPr>
                <w:rFonts w:ascii="Times New Roman" w:hAnsi="Times New Roman" w:eastAsia="MS Mincho" w:cs="Times New Roman"/>
                <w:sz w:val="22"/>
                <w:szCs w:val="22"/>
                <w:lang w:val="en-GB" w:eastAsia="zh-CN"/>
              </w:rPr>
              <w:t>Note: It is assumed that the information relevant to LTE SL reserved resources by other LTE SL UE used in the above procedure is shared from LTE SL module to NR SL module</w:t>
            </w:r>
          </w:p>
          <w:p>
            <w:pPr>
              <w:widowControl w:val="0"/>
              <w:numPr>
                <w:ilvl w:val="1"/>
                <w:numId w:val="14"/>
              </w:numPr>
              <w:autoSpaceDE/>
              <w:autoSpaceDN/>
              <w:adjustRightInd/>
              <w:snapToGrid/>
              <w:spacing w:after="0"/>
              <w:ind w:left="1440" w:hanging="360"/>
              <w:jc w:val="both"/>
              <w:rPr>
                <w:rFonts w:ascii="Times New Roman" w:hAnsi="Times New Roman" w:eastAsia="MS Mincho" w:cs="Times New Roman"/>
                <w:sz w:val="22"/>
                <w:szCs w:val="22"/>
                <w:lang w:val="en-GB" w:eastAsia="zh-CN"/>
              </w:rPr>
            </w:pPr>
            <w:r>
              <w:rPr>
                <w:rFonts w:ascii="Times New Roman" w:hAnsi="Times New Roman" w:eastAsia="MS Mincho" w:cs="Times New Roman"/>
                <w:sz w:val="22"/>
                <w:szCs w:val="22"/>
                <w:lang w:val="en-GB" w:eastAsia="zh-CN"/>
              </w:rPr>
              <w:t xml:space="preserve">FFS whether/how LTE SL RSRP is applied </w:t>
            </w:r>
          </w:p>
          <w:p>
            <w:pPr>
              <w:widowControl w:val="0"/>
              <w:rPr>
                <w:rFonts w:hint="default"/>
                <w:b/>
                <w:i/>
                <w:iCs w:val="0"/>
                <w:strike w:val="0"/>
                <w:dstrike w:val="0"/>
                <w:szCs w:val="20"/>
                <w:vertAlign w:val="baseline"/>
                <w:lang w:val="en-US" w:eastAsia="zh-CN"/>
              </w:rPr>
            </w:pPr>
          </w:p>
        </w:tc>
      </w:tr>
    </w:tbl>
    <w:p>
      <w:pPr>
        <w:rPr>
          <w:rFonts w:hint="default"/>
          <w:b/>
          <w:i/>
          <w:iCs w:val="0"/>
          <w:strike w:val="0"/>
          <w:dstrike w:val="0"/>
          <w:szCs w:val="20"/>
          <w:lang w:val="en-US" w:eastAsia="zh-CN"/>
        </w:rPr>
      </w:pPr>
    </w:p>
    <w:p>
      <w:pPr>
        <w:rPr>
          <w:rFonts w:hint="eastAsia"/>
          <w:sz w:val="22"/>
          <w:szCs w:val="22"/>
          <w:lang w:val="en-US" w:eastAsia="zh-CN"/>
        </w:rPr>
      </w:pPr>
      <w:r>
        <w:rPr>
          <w:rFonts w:hint="eastAsia"/>
          <w:sz w:val="22"/>
          <w:szCs w:val="22"/>
          <w:lang w:val="en-US" w:eastAsia="zh-CN"/>
        </w:rPr>
        <w:t xml:space="preserve">Some remaining issues about SL RSRP threshold were not addressed in the last meeting. Four alternatives were agreed for down-selecting at the next meeting. It is difficult to achieve a balance between NR SL performance and LTE SL performance with either NR SL RSRP based or LTE SL RSRP based resource exclusion. </w:t>
      </w:r>
      <w:r>
        <w:rPr>
          <w:rFonts w:hint="default"/>
          <w:sz w:val="22"/>
          <w:szCs w:val="22"/>
          <w:lang w:val="en-US" w:eastAsia="zh-CN"/>
        </w:rPr>
        <w:t>At this point, it may be difficult to envision whether the LTE threshold or the NR threshold is more appropriate.</w:t>
      </w:r>
      <w:r>
        <w:rPr>
          <w:rFonts w:hint="eastAsia"/>
          <w:sz w:val="22"/>
          <w:szCs w:val="22"/>
          <w:lang w:val="en-US" w:eastAsia="zh-CN"/>
        </w:rPr>
        <w:t xml:space="preserve"> Considering that Alt 3</w:t>
      </w:r>
      <w:r>
        <w:rPr>
          <w:rFonts w:hint="default"/>
          <w:sz w:val="22"/>
          <w:szCs w:val="22"/>
          <w:lang w:val="en-US" w:eastAsia="zh-CN"/>
        </w:rPr>
        <w:t xml:space="preserve"> is a super set of all three</w:t>
      </w:r>
      <w:r>
        <w:rPr>
          <w:rFonts w:hint="eastAsia"/>
          <w:sz w:val="22"/>
          <w:szCs w:val="22"/>
          <w:lang w:val="en-US" w:eastAsia="zh-CN"/>
        </w:rPr>
        <w:t xml:space="preserve"> alternatives, Alt 3 may be more suitable</w:t>
      </w:r>
      <w:r>
        <w:rPr>
          <w:rFonts w:hint="default"/>
          <w:sz w:val="22"/>
          <w:szCs w:val="22"/>
          <w:lang w:val="en-US" w:eastAsia="zh-CN"/>
        </w:rPr>
        <w:t>.</w:t>
      </w:r>
      <w:r>
        <w:rPr>
          <w:rFonts w:hint="eastAsia"/>
          <w:sz w:val="22"/>
          <w:szCs w:val="22"/>
          <w:lang w:val="en-US" w:eastAsia="zh-CN"/>
        </w:rPr>
        <w:t xml:space="preserve"> </w:t>
      </w:r>
    </w:p>
    <w:p>
      <w:pPr>
        <w:rPr>
          <w:rFonts w:hint="eastAsia"/>
          <w:sz w:val="22"/>
          <w:szCs w:val="22"/>
          <w:lang w:val="en-US" w:eastAsia="zh-CN"/>
        </w:rPr>
      </w:pPr>
      <w:r>
        <w:rPr>
          <w:rFonts w:hint="eastAsia"/>
          <w:sz w:val="22"/>
          <w:szCs w:val="22"/>
          <w:lang w:val="en-US" w:eastAsia="zh-CN"/>
        </w:rPr>
        <w:t xml:space="preserve">It has been agreed in RAN#99 that NR SL UE needs to avoid selecting resources for PSCCH/PSSCH transmissions, whose corresponding PSFCH transmission occasions overlap in the time domain with LTE SL reservations. In other words, for a NR SL slot with NR PSFCH, it is not overlapped with LTE SL slots. Therefore, Alt 4 is not necessary.. </w:t>
      </w:r>
    </w:p>
    <w:p>
      <w:pPr>
        <w:numPr>
          <w:ilvl w:val="-1"/>
          <w:numId w:val="0"/>
        </w:numPr>
        <w:overflowPunct/>
        <w:autoSpaceDE/>
        <w:autoSpaceDN/>
        <w:adjustRightInd/>
        <w:spacing w:after="0" w:line="240" w:lineRule="auto"/>
        <w:ind w:left="0" w:leftChars="0" w:firstLine="0" w:firstLineChars="0"/>
        <w:jc w:val="left"/>
        <w:textAlignment w:val="auto"/>
        <w:rPr>
          <w:rFonts w:ascii="Times New Roman" w:hAnsi="Times New Roman" w:eastAsia="MS Mincho" w:cs="Times New Roman"/>
          <w:b/>
          <w:bCs/>
          <w:i/>
          <w:iCs/>
          <w:sz w:val="22"/>
          <w:szCs w:val="24"/>
          <w:lang w:val="en-GB" w:eastAsia="en-US" w:bidi="ar-SA"/>
        </w:rPr>
      </w:pPr>
      <w:bookmarkStart w:id="3" w:name="OLE_LINK7"/>
      <w:r>
        <w:rPr>
          <w:rFonts w:hint="eastAsia" w:eastAsia="宋体"/>
          <w:b/>
          <w:bCs/>
          <w:i/>
          <w:iCs/>
          <w:sz w:val="22"/>
          <w:szCs w:val="22"/>
          <w:lang w:val="en-US" w:eastAsia="zh-CN"/>
        </w:rPr>
        <w:t xml:space="preserve">Proposal </w:t>
      </w:r>
      <w:r>
        <w:rPr>
          <w:rFonts w:hint="eastAsia"/>
          <w:b/>
          <w:bCs/>
          <w:i/>
          <w:iCs/>
          <w:sz w:val="22"/>
          <w:szCs w:val="22"/>
          <w:lang w:val="en-US" w:eastAsia="zh-CN"/>
        </w:rPr>
        <w:t>2</w:t>
      </w:r>
      <w:r>
        <w:rPr>
          <w:rFonts w:hint="eastAsia" w:eastAsia="宋体"/>
          <w:b/>
          <w:bCs/>
          <w:i/>
          <w:iCs/>
          <w:sz w:val="22"/>
          <w:szCs w:val="22"/>
          <w:lang w:val="en-US" w:eastAsia="zh-CN"/>
        </w:rPr>
        <w:t>:</w:t>
      </w:r>
      <w:r>
        <w:rPr>
          <w:rFonts w:hint="eastAsia"/>
          <w:b/>
          <w:bCs/>
          <w:i/>
          <w:iCs/>
          <w:sz w:val="22"/>
          <w:szCs w:val="22"/>
          <w:lang w:val="en-US" w:eastAsia="zh-CN"/>
        </w:rPr>
        <w:t xml:space="preserve"> For NR SL resource (re)selection procedure, SL RSRP threshold list should be separately (pre)configured for dynamic resource pool sharing.</w:t>
      </w:r>
    </w:p>
    <w:bookmarkEnd w:id="3"/>
    <w:p>
      <w:pPr>
        <w:rPr>
          <w:rFonts w:hint="default" w:eastAsia="宋体"/>
          <w:sz w:val="22"/>
          <w:szCs w:val="22"/>
          <w:lang w:val="en-US" w:eastAsia="zh-CN"/>
        </w:rPr>
      </w:pPr>
    </w:p>
    <w:p>
      <w:pPr>
        <w:widowControl w:val="0"/>
        <w:kinsoku w:val="0"/>
        <w:overflowPunct w:val="0"/>
        <w:adjustRightInd/>
        <w:snapToGrid/>
        <w:rPr>
          <w:rFonts w:hint="default" w:eastAsia="宋体"/>
          <w:sz w:val="22"/>
          <w:szCs w:val="22"/>
          <w:lang w:val="en-US" w:eastAsia="zh-CN"/>
        </w:rPr>
      </w:pPr>
      <w:r>
        <w:rPr>
          <w:rFonts w:hint="eastAsia"/>
          <w:lang w:val="en-US" w:eastAsia="zh-CN"/>
        </w:rPr>
        <w:t>In RAN1#112</w:t>
      </w:r>
      <w:r>
        <w:rPr>
          <w:lang w:eastAsia="zh-CN"/>
        </w:rPr>
        <w:t xml:space="preserve"> meeting,</w:t>
      </w:r>
      <w:r>
        <w:rPr>
          <w:rFonts w:hint="eastAsia"/>
          <w:lang w:val="en-US" w:eastAsia="zh-CN"/>
        </w:rPr>
        <w:t xml:space="preserve"> the following agreement was made: [</w:t>
      </w:r>
      <w:r>
        <w:rPr>
          <w:rFonts w:hint="eastAsia"/>
          <w:highlight w:val="none"/>
          <w:lang w:val="en-US" w:eastAsia="zh-CN"/>
        </w:rPr>
        <w:t>3</w:t>
      </w:r>
      <w:r>
        <w:rPr>
          <w:rFonts w:hint="eastAsia"/>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widowControl w:val="0"/>
              <w:autoSpaceDE/>
              <w:autoSpaceDN/>
              <w:adjustRightInd/>
              <w:snapToGrid/>
              <w:spacing w:after="0"/>
              <w:jc w:val="both"/>
              <w:rPr>
                <w:rFonts w:ascii="Times New Roman" w:hAnsi="Times New Roman" w:eastAsia="Batang" w:cs="Times New Roman"/>
                <w:sz w:val="22"/>
                <w:szCs w:val="22"/>
                <w:lang w:val="en-GB" w:eastAsia="zh-CN"/>
              </w:rPr>
            </w:pPr>
            <w:r>
              <w:rPr>
                <w:rFonts w:ascii="Times New Roman" w:hAnsi="Times New Roman" w:eastAsia="Batang" w:cs="Times New Roman"/>
                <w:sz w:val="22"/>
                <w:szCs w:val="22"/>
                <w:highlight w:val="green"/>
                <w:lang w:val="en-GB"/>
              </w:rPr>
              <w:t>Agreement</w:t>
            </w:r>
          </w:p>
          <w:p>
            <w:pPr>
              <w:widowControl w:val="0"/>
              <w:autoSpaceDE/>
              <w:autoSpaceDN/>
              <w:adjustRightInd/>
              <w:snapToGrid/>
              <w:spacing w:after="0"/>
              <w:jc w:val="both"/>
              <w:rPr>
                <w:rFonts w:ascii="Times New Roman" w:hAnsi="Times New Roman" w:eastAsia="MS Mincho" w:cs="Times New Roman"/>
                <w:sz w:val="22"/>
                <w:szCs w:val="22"/>
                <w:lang w:val="en-GB" w:eastAsia="zh-CN"/>
              </w:rPr>
            </w:pPr>
            <w:r>
              <w:rPr>
                <w:rFonts w:ascii="Times New Roman" w:hAnsi="Times New Roman" w:eastAsia="MS Mincho" w:cs="Times New Roman"/>
                <w:sz w:val="22"/>
                <w:szCs w:val="22"/>
                <w:lang w:val="en-GB" w:eastAsia="zh-CN"/>
              </w:rPr>
              <w:t>In NR SL resource (re)selection procedure, down-select one of followings for how to determine candidate resource set for NR SL considering the LTE SL resources selected to be used for LTE SL module’s own LTE SL transmission</w:t>
            </w:r>
          </w:p>
          <w:p>
            <w:pPr>
              <w:widowControl w:val="0"/>
              <w:numPr>
                <w:ilvl w:val="0"/>
                <w:numId w:val="15"/>
              </w:numPr>
              <w:autoSpaceDE w:val="0"/>
              <w:autoSpaceDN w:val="0"/>
              <w:adjustRightInd/>
              <w:snapToGrid/>
              <w:spacing w:after="0"/>
              <w:ind w:left="720" w:hanging="360"/>
              <w:jc w:val="left"/>
              <w:rPr>
                <w:rFonts w:ascii="Times New Roman" w:hAnsi="Times New Roman" w:eastAsia="MS Mincho" w:cs="Times New Roman"/>
                <w:sz w:val="22"/>
                <w:szCs w:val="22"/>
                <w:lang w:val="en-GB"/>
              </w:rPr>
            </w:pPr>
            <w:r>
              <w:rPr>
                <w:rFonts w:ascii="Times New Roman" w:hAnsi="Times New Roman" w:eastAsia="MS Mincho" w:cs="Times New Roman"/>
                <w:sz w:val="22"/>
                <w:szCs w:val="22"/>
                <w:lang w:val="en-GB"/>
              </w:rPr>
              <w:t xml:space="preserve">Option 1: </w:t>
            </w:r>
            <w:r>
              <w:rPr>
                <w:rFonts w:ascii="Times New Roman" w:hAnsi="Times New Roman" w:eastAsia="Malgun Gothic" w:cs="Times New Roman"/>
                <w:sz w:val="22"/>
                <w:szCs w:val="22"/>
                <w:lang w:val="en-GB" w:eastAsia="ko-KR"/>
              </w:rPr>
              <w:t>T</w:t>
            </w:r>
            <w:r>
              <w:rPr>
                <w:rFonts w:ascii="Times New Roman" w:hAnsi="Times New Roman" w:eastAsia="MS Mincho" w:cs="Times New Roman"/>
                <w:sz w:val="22"/>
                <w:szCs w:val="22"/>
                <w:lang w:val="en-GB"/>
              </w:rPr>
              <w:t xml:space="preserve">he PHY layer of NR SL module excludes NR SL candidate resources in a NR SL slot overlapping with LTE SL resources selected to be used for LTE SL module’s own LTE SL transmission </w:t>
            </w:r>
          </w:p>
          <w:p>
            <w:pPr>
              <w:widowControl w:val="0"/>
              <w:numPr>
                <w:ilvl w:val="1"/>
                <w:numId w:val="15"/>
              </w:numPr>
              <w:autoSpaceDE/>
              <w:autoSpaceDN/>
              <w:adjustRightInd/>
              <w:snapToGrid/>
              <w:spacing w:after="0"/>
              <w:ind w:left="1440" w:hanging="360"/>
              <w:jc w:val="both"/>
              <w:rPr>
                <w:rFonts w:ascii="Times New Roman" w:hAnsi="Times New Roman" w:eastAsia="MS Mincho" w:cs="Times New Roman"/>
                <w:sz w:val="22"/>
                <w:szCs w:val="22"/>
                <w:lang w:val="en-GB" w:eastAsia="zh-CN"/>
              </w:rPr>
            </w:pPr>
            <w:r>
              <w:rPr>
                <w:rFonts w:ascii="Times New Roman" w:hAnsi="Times New Roman" w:eastAsia="MS Mincho" w:cs="Times New Roman"/>
                <w:sz w:val="22"/>
                <w:szCs w:val="22"/>
                <w:lang w:val="en-GB" w:eastAsia="zh-CN"/>
              </w:rPr>
              <w:t xml:space="preserve">For the LTE SL periodic resources selected to be used for LTE SL module’s own LTE SL transmission, </w:t>
            </w:r>
          </w:p>
          <w:p>
            <w:pPr>
              <w:widowControl w:val="0"/>
              <w:numPr>
                <w:ilvl w:val="2"/>
                <w:numId w:val="15"/>
              </w:numPr>
              <w:autoSpaceDE/>
              <w:autoSpaceDN/>
              <w:adjustRightInd/>
              <w:snapToGrid/>
              <w:spacing w:after="0"/>
              <w:ind w:left="2160" w:hanging="360"/>
              <w:jc w:val="both"/>
              <w:rPr>
                <w:rFonts w:ascii="Times New Roman" w:hAnsi="Times New Roman" w:eastAsia="MS Mincho" w:cs="Times New Roman"/>
                <w:sz w:val="22"/>
                <w:szCs w:val="22"/>
                <w:lang w:val="en-GB" w:eastAsia="zh-CN"/>
              </w:rPr>
            </w:pPr>
            <w:r>
              <w:rPr>
                <w:rFonts w:ascii="Times New Roman" w:hAnsi="Times New Roman" w:eastAsia="MS Mincho" w:cs="Times New Roman"/>
                <w:sz w:val="22"/>
                <w:szCs w:val="22"/>
                <w:lang w:val="en-GB" w:eastAsia="zh-CN"/>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pPr>
              <w:widowControl w:val="0"/>
              <w:numPr>
                <w:ilvl w:val="1"/>
                <w:numId w:val="15"/>
              </w:numPr>
              <w:autoSpaceDE/>
              <w:autoSpaceDN/>
              <w:adjustRightInd/>
              <w:snapToGrid/>
              <w:spacing w:after="0"/>
              <w:ind w:left="1440" w:hanging="360"/>
              <w:jc w:val="both"/>
              <w:rPr>
                <w:rFonts w:ascii="Times New Roman" w:hAnsi="Times New Roman" w:eastAsia="MS Mincho" w:cs="Times New Roman"/>
                <w:sz w:val="22"/>
                <w:szCs w:val="22"/>
                <w:lang w:val="en-GB" w:eastAsia="zh-CN"/>
              </w:rPr>
            </w:pPr>
            <w:r>
              <w:rPr>
                <w:rFonts w:ascii="Times New Roman" w:hAnsi="Times New Roman" w:eastAsia="MS Mincho" w:cs="Times New Roman"/>
                <w:sz w:val="22"/>
                <w:szCs w:val="22"/>
                <w:lang w:val="en-GB" w:eastAsia="zh-CN"/>
              </w:rPr>
              <w:t>The PHY layer of NR module applies the above procedure in Step 5 in Section 8.1.4 of TS 38.214</w:t>
            </w:r>
          </w:p>
          <w:p>
            <w:pPr>
              <w:widowControl w:val="0"/>
              <w:numPr>
                <w:ilvl w:val="2"/>
                <w:numId w:val="15"/>
              </w:numPr>
              <w:autoSpaceDE/>
              <w:autoSpaceDN/>
              <w:adjustRightInd/>
              <w:snapToGrid/>
              <w:spacing w:after="0"/>
              <w:ind w:left="2160" w:hanging="360"/>
              <w:jc w:val="both"/>
              <w:rPr>
                <w:rFonts w:ascii="Times New Roman" w:hAnsi="Times New Roman" w:eastAsia="MS Mincho" w:cs="Times New Roman"/>
                <w:sz w:val="22"/>
                <w:szCs w:val="22"/>
                <w:lang w:val="en-GB" w:eastAsia="zh-CN"/>
              </w:rPr>
            </w:pPr>
            <w:r>
              <w:rPr>
                <w:rFonts w:ascii="Times New Roman" w:hAnsi="Times New Roman" w:eastAsia="MS Mincho" w:cs="Times New Roman"/>
                <w:sz w:val="22"/>
                <w:szCs w:val="22"/>
                <w:lang w:val="en-GB" w:eastAsia="zh-CN"/>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pPr>
              <w:widowControl w:val="0"/>
              <w:numPr>
                <w:ilvl w:val="2"/>
                <w:numId w:val="15"/>
              </w:numPr>
              <w:autoSpaceDE/>
              <w:autoSpaceDN/>
              <w:adjustRightInd/>
              <w:snapToGrid/>
              <w:spacing w:after="0"/>
              <w:ind w:left="2160" w:hanging="360"/>
              <w:jc w:val="both"/>
              <w:rPr>
                <w:rFonts w:ascii="Times New Roman" w:hAnsi="Times New Roman" w:eastAsia="MS Mincho" w:cs="Times New Roman"/>
                <w:sz w:val="22"/>
                <w:szCs w:val="22"/>
                <w:lang w:val="en-GB" w:eastAsia="zh-CN"/>
              </w:rPr>
            </w:pPr>
            <w:r>
              <w:rPr>
                <w:rFonts w:ascii="Times New Roman" w:hAnsi="Times New Roman" w:eastAsia="MS Mincho" w:cs="Times New Roman"/>
                <w:sz w:val="22"/>
                <w:szCs w:val="22"/>
                <w:lang w:val="en-GB" w:eastAsia="zh-CN"/>
              </w:rPr>
              <w:t>Note: When the PHY layer of NR module cancels the above procedure according to Step 5a in Section 8.1.4 of TS 38.214, UE selects either LTE SL transmission or NR SL transmission according to Rel-16 NR SL in-device coexistence rule</w:t>
            </w:r>
          </w:p>
          <w:p>
            <w:pPr>
              <w:widowControl w:val="0"/>
              <w:numPr>
                <w:ilvl w:val="1"/>
                <w:numId w:val="15"/>
              </w:numPr>
              <w:autoSpaceDE/>
              <w:autoSpaceDN/>
              <w:adjustRightInd/>
              <w:snapToGrid/>
              <w:spacing w:after="0"/>
              <w:ind w:left="1440" w:hanging="360"/>
              <w:jc w:val="both"/>
              <w:rPr>
                <w:rFonts w:ascii="Times New Roman" w:hAnsi="Times New Roman" w:eastAsia="MS Mincho" w:cs="Times New Roman"/>
                <w:sz w:val="22"/>
                <w:szCs w:val="22"/>
                <w:lang w:val="en-GB" w:eastAsia="zh-CN"/>
              </w:rPr>
            </w:pPr>
            <w:r>
              <w:rPr>
                <w:rFonts w:ascii="Times New Roman" w:hAnsi="Times New Roman" w:eastAsia="等线" w:cs="Times New Roman"/>
                <w:sz w:val="22"/>
                <w:szCs w:val="22"/>
                <w:lang w:val="en-GB" w:eastAsia="ko-KR"/>
              </w:rPr>
              <w:t>FFS: whether the above procedure is applied based on the priority of LTE SL transmission and the priority of NR SL transmission</w:t>
            </w:r>
          </w:p>
          <w:p>
            <w:pPr>
              <w:widowControl w:val="0"/>
              <w:numPr>
                <w:ilvl w:val="1"/>
                <w:numId w:val="15"/>
              </w:numPr>
              <w:autoSpaceDE/>
              <w:autoSpaceDN/>
              <w:adjustRightInd/>
              <w:snapToGrid/>
              <w:spacing w:after="0"/>
              <w:ind w:left="1440" w:hanging="360"/>
              <w:jc w:val="both"/>
              <w:rPr>
                <w:rFonts w:ascii="Times New Roman" w:hAnsi="Times New Roman" w:eastAsia="MS Mincho" w:cs="Times New Roman"/>
                <w:sz w:val="22"/>
                <w:szCs w:val="22"/>
                <w:lang w:val="en-GB" w:eastAsia="zh-CN"/>
              </w:rPr>
            </w:pPr>
            <w:r>
              <w:rPr>
                <w:rFonts w:ascii="Times New Roman" w:hAnsi="Times New Roman" w:eastAsia="MS Mincho" w:cs="Times New Roman"/>
                <w:sz w:val="22"/>
                <w:szCs w:val="22"/>
                <w:lang w:val="en-GB" w:eastAsia="zh-CN"/>
              </w:rPr>
              <w:t>Note: It is assumed that the information relevant to LTE SL resources selected to be used for LTE SL module’s own LTE SL transmission used in the above procedure is shared from LTE SL module to NR SL module</w:t>
            </w:r>
          </w:p>
          <w:p>
            <w:pPr>
              <w:widowControl w:val="0"/>
              <w:numPr>
                <w:ilvl w:val="0"/>
                <w:numId w:val="15"/>
              </w:numPr>
              <w:autoSpaceDE w:val="0"/>
              <w:autoSpaceDN w:val="0"/>
              <w:adjustRightInd/>
              <w:snapToGrid/>
              <w:spacing w:after="0"/>
              <w:ind w:left="720" w:hanging="360"/>
              <w:jc w:val="left"/>
              <w:rPr>
                <w:rFonts w:ascii="Times New Roman" w:hAnsi="Times New Roman" w:eastAsia="MS Mincho" w:cs="Times New Roman"/>
                <w:sz w:val="22"/>
                <w:szCs w:val="22"/>
                <w:lang w:val="en-GB"/>
              </w:rPr>
            </w:pPr>
            <w:r>
              <w:rPr>
                <w:rFonts w:ascii="Times New Roman" w:hAnsi="Times New Roman" w:eastAsia="MS Mincho" w:cs="Times New Roman"/>
                <w:sz w:val="22"/>
                <w:szCs w:val="22"/>
                <w:lang w:val="en-GB"/>
              </w:rPr>
              <w:t xml:space="preserve">Option 2: </w:t>
            </w:r>
            <w:r>
              <w:rPr>
                <w:rFonts w:ascii="Times New Roman" w:hAnsi="Times New Roman" w:eastAsia="Malgun Gothic" w:cs="Times New Roman"/>
                <w:sz w:val="22"/>
                <w:szCs w:val="22"/>
                <w:lang w:val="en-GB" w:eastAsia="ko-KR"/>
              </w:rPr>
              <w:t>T</w:t>
            </w:r>
            <w:r>
              <w:rPr>
                <w:rFonts w:ascii="Times New Roman" w:hAnsi="Times New Roman" w:eastAsia="MS Mincho" w:cs="Times New Roman"/>
                <w:sz w:val="22"/>
                <w:szCs w:val="22"/>
                <w:lang w:val="en-GB"/>
              </w:rPr>
              <w:t>he PHY layer of NR SL module determines NR SL candidate resources regardless of whether the NR SL candidate resources are in a NR SL slot overlapping with LTE SL resources selected to be used for LTE SL module’s own LTE SL transmission</w:t>
            </w:r>
          </w:p>
          <w:p>
            <w:pPr>
              <w:widowControl w:val="0"/>
              <w:numPr>
                <w:ilvl w:val="1"/>
                <w:numId w:val="15"/>
              </w:numPr>
              <w:autoSpaceDE/>
              <w:autoSpaceDN/>
              <w:adjustRightInd/>
              <w:snapToGrid/>
              <w:spacing w:after="0"/>
              <w:ind w:left="1440" w:hanging="360"/>
              <w:jc w:val="both"/>
              <w:rPr>
                <w:rFonts w:ascii="Times New Roman" w:hAnsi="Times New Roman" w:eastAsia="MS Mincho" w:cs="Times New Roman"/>
                <w:sz w:val="22"/>
                <w:szCs w:val="22"/>
                <w:lang w:val="en-GB" w:eastAsia="zh-CN"/>
              </w:rPr>
            </w:pPr>
            <w:r>
              <w:rPr>
                <w:rFonts w:ascii="Times New Roman" w:hAnsi="Times New Roman" w:eastAsia="MS Mincho" w:cs="Times New Roman"/>
                <w:sz w:val="22"/>
                <w:szCs w:val="22"/>
                <w:lang w:val="en-GB" w:eastAsia="zh-CN"/>
              </w:rPr>
              <w:t>UE selects either LTE SL transmission or NR SL transmission according to Rel-16 NR SL in-device coexistence rule</w:t>
            </w:r>
          </w:p>
          <w:p>
            <w:pPr>
              <w:widowControl w:val="0"/>
              <w:numPr>
                <w:ilvl w:val="0"/>
                <w:numId w:val="0"/>
              </w:numPr>
              <w:autoSpaceDE w:val="0"/>
              <w:autoSpaceDN w:val="0"/>
              <w:spacing w:line="259" w:lineRule="auto"/>
              <w:rPr>
                <w:sz w:val="22"/>
                <w:szCs w:val="22"/>
                <w:vertAlign w:val="baseline"/>
                <w:lang w:val="en" w:eastAsia="zh-CN"/>
              </w:rPr>
            </w:pPr>
          </w:p>
        </w:tc>
      </w:tr>
    </w:tbl>
    <w:p>
      <w:pPr>
        <w:rPr>
          <w:rFonts w:hint="default" w:eastAsia="宋体"/>
          <w:sz w:val="22"/>
          <w:szCs w:val="22"/>
          <w:lang w:val="en-US" w:eastAsia="zh-CN"/>
        </w:rPr>
      </w:pPr>
    </w:p>
    <w:p>
      <w:pPr>
        <w:rPr>
          <w:rFonts w:hint="default" w:eastAsia="宋体"/>
          <w:sz w:val="22"/>
          <w:szCs w:val="22"/>
          <w:lang w:val="en-US" w:eastAsia="zh-CN"/>
        </w:rPr>
      </w:pPr>
      <w:r>
        <w:rPr>
          <w:rFonts w:hint="default" w:eastAsia="宋体"/>
          <w:sz w:val="22"/>
          <w:szCs w:val="22"/>
          <w:lang w:val="en-US" w:eastAsia="zh-CN"/>
        </w:rPr>
        <w:t xml:space="preserve">The issue of identifying </w:t>
      </w:r>
      <w:bookmarkStart w:id="4" w:name="OLE_LINK9"/>
      <w:r>
        <w:rPr>
          <w:rFonts w:hint="default" w:eastAsia="宋体"/>
          <w:sz w:val="22"/>
          <w:szCs w:val="22"/>
          <w:lang w:val="en-US" w:eastAsia="zh-CN"/>
        </w:rPr>
        <w:t>NR SL resources that overlap with LTE SL resources</w:t>
      </w:r>
      <w:bookmarkEnd w:id="4"/>
      <w:r>
        <w:rPr>
          <w:rFonts w:hint="default" w:eastAsia="宋体"/>
          <w:sz w:val="22"/>
          <w:szCs w:val="22"/>
          <w:lang w:val="en-US" w:eastAsia="zh-CN"/>
        </w:rPr>
        <w:t xml:space="preserve"> used for LTE SL transmission was discussed at the last meeting and two options were agreed</w:t>
      </w:r>
      <w:r>
        <w:rPr>
          <w:rFonts w:hint="eastAsia"/>
          <w:sz w:val="22"/>
          <w:szCs w:val="22"/>
          <w:lang w:val="en-US" w:eastAsia="zh-CN"/>
        </w:rPr>
        <w:t xml:space="preserve"> for future down-selecting. Regarding Option 1, it is assumed that the LTE SL transmission always has priority over NR SL transmission when </w:t>
      </w:r>
      <w:r>
        <w:rPr>
          <w:rFonts w:hint="default" w:eastAsia="宋体"/>
          <w:sz w:val="22"/>
          <w:szCs w:val="22"/>
          <w:lang w:val="en-US" w:eastAsia="zh-CN"/>
        </w:rPr>
        <w:t xml:space="preserve">NR SL </w:t>
      </w:r>
      <w:r>
        <w:rPr>
          <w:rFonts w:hint="eastAsia"/>
          <w:sz w:val="22"/>
          <w:szCs w:val="22"/>
          <w:lang w:val="en-US" w:eastAsia="zh-CN"/>
        </w:rPr>
        <w:t xml:space="preserve">transmission </w:t>
      </w:r>
      <w:r>
        <w:rPr>
          <w:rFonts w:hint="default" w:eastAsia="宋体"/>
          <w:sz w:val="22"/>
          <w:szCs w:val="22"/>
          <w:lang w:val="en-US" w:eastAsia="zh-CN"/>
        </w:rPr>
        <w:t>overlap</w:t>
      </w:r>
      <w:r>
        <w:rPr>
          <w:rFonts w:hint="eastAsia"/>
          <w:sz w:val="22"/>
          <w:szCs w:val="22"/>
          <w:lang w:val="en-US" w:eastAsia="zh-CN"/>
        </w:rPr>
        <w:t>s</w:t>
      </w:r>
      <w:r>
        <w:rPr>
          <w:rFonts w:hint="default" w:eastAsia="宋体"/>
          <w:sz w:val="22"/>
          <w:szCs w:val="22"/>
          <w:lang w:val="en-US" w:eastAsia="zh-CN"/>
        </w:rPr>
        <w:t xml:space="preserve"> with LTE SL </w:t>
      </w:r>
      <w:r>
        <w:rPr>
          <w:rFonts w:hint="eastAsia"/>
          <w:sz w:val="22"/>
          <w:szCs w:val="22"/>
          <w:lang w:val="en-US" w:eastAsia="zh-CN"/>
        </w:rPr>
        <w:t>transmission. This is not practical and will degrade NR SL transmission performance. Regarding Option 2, it is consistent with the in-device coexistence method (i.e. prioritizing one NR SL transmission over LTE SL transmission or prioritizing one LTE SL transmission over NR SL transmission), which is realistic and reduces the standardization efforts.</w:t>
      </w:r>
    </w:p>
    <w:p>
      <w:pPr>
        <w:pStyle w:val="61"/>
        <w:numPr>
          <w:ilvl w:val="0"/>
          <w:numId w:val="0"/>
        </w:numPr>
        <w:autoSpaceDE w:val="0"/>
        <w:autoSpaceDN w:val="0"/>
        <w:adjustRightInd/>
        <w:snapToGrid/>
        <w:spacing w:after="0"/>
        <w:ind w:left="0" w:firstLine="0"/>
        <w:jc w:val="both"/>
        <w:rPr>
          <w:rFonts w:hint="eastAsia" w:ascii="Times New Roman" w:hAnsi="Times New Roman" w:eastAsia="宋体" w:cs="Times New Roman"/>
          <w:b/>
          <w:bCs w:val="0"/>
          <w:i/>
          <w:iCs w:val="0"/>
          <w:sz w:val="22"/>
          <w:szCs w:val="20"/>
          <w:lang w:val="en-US" w:eastAsia="zh-CN"/>
        </w:rPr>
      </w:pPr>
      <w:r>
        <w:rPr>
          <w:rFonts w:hint="eastAsia"/>
          <w:b/>
          <w:bCs w:val="0"/>
          <w:i/>
          <w:iCs w:val="0"/>
          <w:sz w:val="22"/>
          <w:szCs w:val="20"/>
          <w:lang w:val="en-US" w:eastAsia="zh-CN"/>
        </w:rPr>
        <w:t xml:space="preserve">Proposal 3: The PHY </w:t>
      </w:r>
      <w:r>
        <w:rPr>
          <w:rFonts w:hint="eastAsia" w:ascii="Times New Roman" w:hAnsi="Times New Roman" w:eastAsia="宋体" w:cs="Times New Roman"/>
          <w:b/>
          <w:bCs w:val="0"/>
          <w:i/>
          <w:iCs w:val="0"/>
          <w:sz w:val="22"/>
          <w:szCs w:val="20"/>
          <w:lang w:val="en-US" w:eastAsia="zh-CN"/>
        </w:rPr>
        <w:t>layer of NR SL module determines NR SL candidate resources regardless of whether the NR SL candidate resources are in a NR SL slot overlapping with LTE SL resources selected to be used for LTE SL module</w:t>
      </w:r>
      <w:r>
        <w:rPr>
          <w:rFonts w:hint="default" w:cs="Times New Roman"/>
          <w:b/>
          <w:bCs w:val="0"/>
          <w:i/>
          <w:iCs w:val="0"/>
          <w:sz w:val="22"/>
          <w:szCs w:val="20"/>
          <w:lang w:val="en-US" w:eastAsia="zh-CN"/>
        </w:rPr>
        <w:t>’</w:t>
      </w:r>
      <w:bookmarkStart w:id="11" w:name="_GoBack"/>
      <w:bookmarkEnd w:id="11"/>
      <w:r>
        <w:rPr>
          <w:rFonts w:hint="eastAsia" w:ascii="Times New Roman" w:hAnsi="Times New Roman" w:eastAsia="宋体" w:cs="Times New Roman"/>
          <w:b/>
          <w:bCs w:val="0"/>
          <w:i/>
          <w:iCs w:val="0"/>
          <w:sz w:val="22"/>
          <w:szCs w:val="20"/>
          <w:lang w:val="en-US" w:eastAsia="zh-CN"/>
        </w:rPr>
        <w:t>s own LTE SL transmission</w:t>
      </w:r>
    </w:p>
    <w:p>
      <w:pPr>
        <w:numPr>
          <w:ilvl w:val="0"/>
          <w:numId w:val="15"/>
        </w:numPr>
        <w:autoSpaceDE/>
        <w:autoSpaceDN/>
        <w:adjustRightInd/>
        <w:snapToGrid/>
        <w:spacing w:after="0"/>
        <w:ind w:left="720" w:hanging="360"/>
        <w:rPr>
          <w:rFonts w:hint="default" w:eastAsia="宋体"/>
          <w:sz w:val="22"/>
          <w:szCs w:val="22"/>
          <w:lang w:val="en-US" w:eastAsia="zh-CN"/>
        </w:rPr>
      </w:pPr>
      <w:r>
        <w:rPr>
          <w:rFonts w:ascii="Times New Roman" w:hAnsi="Times New Roman" w:eastAsia="MS Mincho" w:cs="Times New Roman"/>
          <w:b/>
          <w:bCs/>
          <w:i/>
          <w:iCs/>
          <w:sz w:val="22"/>
          <w:szCs w:val="22"/>
          <w:lang w:val="en-GB" w:eastAsia="zh-CN"/>
        </w:rPr>
        <w:t>UE selects either LTE SL transmission or NR SL transmission according to Rel-16 NR SL in-device coexistence rule</w:t>
      </w:r>
    </w:p>
    <w:p>
      <w:pPr>
        <w:rPr>
          <w:rFonts w:hint="default" w:eastAsia="宋体"/>
          <w:sz w:val="22"/>
          <w:szCs w:val="22"/>
          <w:lang w:val="en-US" w:eastAsia="zh-CN"/>
        </w:rPr>
      </w:pPr>
    </w:p>
    <w:p>
      <w:pPr>
        <w:widowControl w:val="0"/>
        <w:kinsoku w:val="0"/>
        <w:overflowPunct w:val="0"/>
        <w:adjustRightInd/>
        <w:snapToGrid/>
        <w:rPr>
          <w:rFonts w:hint="default" w:eastAsia="宋体"/>
          <w:sz w:val="22"/>
          <w:szCs w:val="22"/>
          <w:lang w:val="en-US" w:eastAsia="zh-CN"/>
        </w:rPr>
      </w:pPr>
      <w:r>
        <w:rPr>
          <w:rFonts w:hint="eastAsia"/>
          <w:lang w:val="en-US" w:eastAsia="zh-CN"/>
        </w:rPr>
        <w:t>In RAN1#112</w:t>
      </w:r>
      <w:r>
        <w:rPr>
          <w:lang w:eastAsia="zh-CN"/>
        </w:rPr>
        <w:t xml:space="preserve"> meeting,</w:t>
      </w:r>
      <w:r>
        <w:rPr>
          <w:rFonts w:hint="eastAsia"/>
          <w:lang w:val="en-US" w:eastAsia="zh-CN"/>
        </w:rPr>
        <w:t xml:space="preserve"> the following proposal was discussed [</w:t>
      </w:r>
      <w:r>
        <w:rPr>
          <w:rFonts w:hint="eastAsia"/>
          <w:highlight w:val="none"/>
          <w:lang w:val="en-US" w:eastAsia="zh-CN"/>
        </w:rPr>
        <w:t>4</w:t>
      </w:r>
      <w:r>
        <w:rPr>
          <w:rFonts w:hint="eastAsia"/>
          <w:lang w:val="en-US" w:eastAsia="zh-CN"/>
        </w:rPr>
        <w:t>], but no consensus was achieved.</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widowControl w:val="0"/>
              <w:numPr>
                <w:ilvl w:val="-1"/>
                <w:numId w:val="0"/>
              </w:numPr>
              <w:autoSpaceDE/>
              <w:autoSpaceDN/>
              <w:adjustRightInd/>
              <w:snapToGrid/>
              <w:spacing w:after="160" w:line="259" w:lineRule="auto"/>
              <w:ind w:left="0" w:firstLine="0"/>
              <w:jc w:val="both"/>
              <w:rPr>
                <w:rFonts w:ascii="Times New Roman" w:hAnsi="Times New Roman" w:eastAsia="바탕" w:cs="Times New Roman"/>
                <w:sz w:val="22"/>
                <w:szCs w:val="22"/>
                <w:lang w:val="en-GB" w:eastAsia="zh-CN"/>
              </w:rPr>
            </w:pPr>
            <w:r>
              <w:rPr>
                <w:rFonts w:ascii="Times New Roman" w:hAnsi="Times New Roman" w:cs="Times New Roman"/>
                <w:b/>
                <w:bCs/>
                <w:sz w:val="22"/>
                <w:szCs w:val="22"/>
                <w:lang w:val="en-GB"/>
              </w:rPr>
              <w:t>Proposal 2-3(I):</w:t>
            </w:r>
          </w:p>
          <w:p>
            <w:pPr>
              <w:widowControl w:val="0"/>
              <w:numPr>
                <w:ilvl w:val="0"/>
                <w:numId w:val="16"/>
              </w:numPr>
              <w:spacing w:after="160" w:line="259" w:lineRule="auto"/>
              <w:ind w:left="420" w:leftChars="0" w:hanging="420"/>
              <w:jc w:val="both"/>
              <w:rPr>
                <w:rFonts w:ascii="Times New Roman" w:hAnsi="Times New Roman" w:eastAsia="MS Mincho" w:cs="Times New Roman"/>
                <w:sz w:val="22"/>
                <w:szCs w:val="24"/>
                <w:lang w:val="en-GB" w:eastAsia="zh-CN" w:bidi="ar-SA"/>
              </w:rPr>
            </w:pPr>
            <w:r>
              <w:rPr>
                <w:rFonts w:ascii="Times New Roman" w:hAnsi="Times New Roman" w:eastAsia="MS Mincho" w:cs="Times New Roman"/>
                <w:sz w:val="22"/>
                <w:szCs w:val="24"/>
                <w:lang w:val="en-GB" w:eastAsia="zh-CN" w:bidi="ar-SA"/>
              </w:rPr>
              <w:t xml:space="preserve">In NR SL resource (re)selection procedure, the PHY layer of NR SL module excludes NR SL candidate resources overlapping with LTE SL resources associated with non-monitored subframe of LTE SL module </w:t>
            </w:r>
          </w:p>
          <w:p>
            <w:pPr>
              <w:widowControl w:val="0"/>
              <w:numPr>
                <w:ilvl w:val="0"/>
                <w:numId w:val="17"/>
              </w:numPr>
              <w:spacing w:after="160" w:line="259" w:lineRule="auto"/>
              <w:ind w:left="840" w:leftChars="0" w:hanging="420"/>
              <w:jc w:val="both"/>
              <w:rPr>
                <w:rFonts w:ascii="Times New Roman" w:hAnsi="Times New Roman" w:eastAsia="MS Mincho" w:cs="Times New Roman"/>
                <w:sz w:val="22"/>
                <w:szCs w:val="24"/>
                <w:lang w:val="en-GB" w:eastAsia="zh-CN" w:bidi="ar-SA"/>
              </w:rPr>
            </w:pPr>
            <w:r>
              <w:rPr>
                <w:rFonts w:ascii="Times New Roman" w:hAnsi="Times New Roman" w:eastAsia="MS Mincho" w:cs="Times New Roman"/>
                <w:sz w:val="22"/>
                <w:szCs w:val="24"/>
                <w:lang w:val="en-GB" w:eastAsia="zh-CN" w:bidi="ar-SA"/>
              </w:rPr>
              <w:t>For determining the LTE SL resources associated with non-monitored subframe of LTE SL module, all the LTE SL resources in the non-monitored subframes are assumed to be repeatedly reserved only once for each LTE SL resource reservation period (pre)configured in a LTE SL resource pool</w:t>
            </w:r>
          </w:p>
          <w:p>
            <w:pPr>
              <w:widowControl w:val="0"/>
              <w:numPr>
                <w:ilvl w:val="0"/>
                <w:numId w:val="17"/>
              </w:numPr>
              <w:spacing w:after="160" w:line="259" w:lineRule="auto"/>
              <w:ind w:left="840" w:leftChars="0" w:hanging="420"/>
              <w:jc w:val="both"/>
              <w:rPr>
                <w:rFonts w:ascii="Times New Roman" w:hAnsi="Times New Roman" w:eastAsia="MS Mincho" w:cs="Times New Roman"/>
                <w:sz w:val="22"/>
                <w:szCs w:val="24"/>
                <w:lang w:val="en-GB" w:eastAsia="zh-CN" w:bidi="ar-SA"/>
              </w:rPr>
            </w:pPr>
            <w:r>
              <w:rPr>
                <w:rFonts w:ascii="Times New Roman" w:hAnsi="Times New Roman" w:eastAsia="MS Mincho" w:cs="Times New Roman"/>
                <w:sz w:val="22"/>
                <w:szCs w:val="24"/>
                <w:lang w:val="en-GB" w:eastAsia="zh-CN" w:bidi="ar-SA"/>
              </w:rPr>
              <w:t>The PHY layer of NR module applies the above procedure in Step 5 in Section 8.1.4 of TS 38.214</w:t>
            </w:r>
          </w:p>
          <w:p>
            <w:pPr>
              <w:widowControl w:val="0"/>
              <w:numPr>
                <w:ilvl w:val="0"/>
                <w:numId w:val="18"/>
              </w:numPr>
              <w:spacing w:after="160" w:line="259" w:lineRule="auto"/>
              <w:ind w:left="1260" w:leftChars="0" w:hanging="420"/>
              <w:jc w:val="both"/>
              <w:rPr>
                <w:rFonts w:ascii="Times New Roman" w:hAnsi="Times New Roman" w:eastAsia="MS Mincho" w:cs="Times New Roman"/>
                <w:sz w:val="22"/>
                <w:szCs w:val="24"/>
                <w:lang w:val="en-GB" w:eastAsia="zh-CN" w:bidi="ar-SA"/>
              </w:rPr>
            </w:pPr>
            <w:r>
              <w:rPr>
                <w:rFonts w:ascii="Times New Roman" w:hAnsi="Times New Roman" w:eastAsia="MS Mincho" w:cs="Times New Roman"/>
                <w:sz w:val="22"/>
                <w:szCs w:val="24"/>
                <w:lang w:val="en-GB" w:eastAsia="zh-CN" w:bidi="ar-SA"/>
              </w:rPr>
              <w:t>Note: For periodic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pPr>
              <w:widowControl w:val="0"/>
              <w:numPr>
                <w:ilvl w:val="0"/>
                <w:numId w:val="19"/>
              </w:numPr>
              <w:spacing w:after="160" w:line="259" w:lineRule="auto"/>
              <w:ind w:left="840" w:hanging="420"/>
              <w:rPr>
                <w:rFonts w:hint="default" w:eastAsia="宋体"/>
                <w:sz w:val="22"/>
                <w:szCs w:val="22"/>
                <w:vertAlign w:val="baseline"/>
                <w:lang w:val="en-US" w:eastAsia="zh-CN"/>
              </w:rPr>
            </w:pPr>
            <w:r>
              <w:rPr>
                <w:rFonts w:ascii="Times New Roman" w:hAnsi="Times New Roman" w:eastAsia="MS Mincho" w:cs="Times New Roman"/>
                <w:sz w:val="22"/>
                <w:szCs w:val="24"/>
                <w:lang w:val="en-GB" w:eastAsia="zh-CN" w:bidi="ar-SA"/>
              </w:rPr>
              <w:t>Note: It is assumed that the information relevant to LTE SL resources associated with non-monitored subframe of LTE SL module used in the above procedure is shared from LTE SL module to NR SL module</w:t>
            </w:r>
          </w:p>
        </w:tc>
      </w:tr>
    </w:tbl>
    <w:p>
      <w:pPr>
        <w:rPr>
          <w:rFonts w:hint="default" w:eastAsia="宋体"/>
          <w:sz w:val="22"/>
          <w:szCs w:val="22"/>
          <w:lang w:val="en-US" w:eastAsia="zh-CN"/>
        </w:rPr>
      </w:pPr>
    </w:p>
    <w:p>
      <w:pPr>
        <w:numPr>
          <w:ilvl w:val="-1"/>
          <w:numId w:val="0"/>
        </w:numPr>
        <w:autoSpaceDE/>
        <w:autoSpaceDN/>
        <w:adjustRightInd/>
        <w:snapToGrid/>
        <w:spacing w:after="160" w:line="259" w:lineRule="auto"/>
        <w:ind w:left="0" w:firstLine="0"/>
        <w:jc w:val="both"/>
        <w:rPr>
          <w:rFonts w:ascii="Times New Roman" w:hAnsi="Times New Roman" w:eastAsia="바탕" w:cs="Times New Roman"/>
          <w:b/>
          <w:bCs/>
          <w:i/>
          <w:iCs/>
          <w:sz w:val="22"/>
          <w:szCs w:val="22"/>
          <w:lang w:val="en-GB" w:eastAsia="zh-CN"/>
        </w:rPr>
      </w:pPr>
      <w:r>
        <w:rPr>
          <w:rFonts w:ascii="Times New Roman" w:hAnsi="Times New Roman" w:cs="Times New Roman"/>
          <w:b w:val="0"/>
          <w:bCs w:val="0"/>
          <w:i w:val="0"/>
          <w:iCs w:val="0"/>
          <w:sz w:val="22"/>
          <w:szCs w:val="22"/>
          <w:lang w:val="en-US" w:eastAsia="zh-CN"/>
        </w:rPr>
        <w:t>Assuming that LTE SL resources in non-monitored subframes are only repeatedly reserved once, this may result in candidate resource sets containing resources reserved by LTE SL UEs for their own transmissions. This will lead to an increase in resource collisions. The ideal case is to exclude non-monitored resources a predefined number of times, which is the Q value already defined in the NR SL and LTE SL.</w:t>
      </w:r>
      <w:r>
        <w:rPr>
          <w:rFonts w:ascii="Times New Roman" w:hAnsi="Times New Roman" w:cs="Times New Roman"/>
          <w:b w:val="0"/>
          <w:bCs w:val="0"/>
          <w:i w:val="0"/>
          <w:iCs w:val="0"/>
          <w:sz w:val="22"/>
          <w:szCs w:val="22"/>
          <w:lang w:val="en-US" w:eastAsia="zh-CN"/>
        </w:rPr>
        <w:br w:type="textWrapping"/>
      </w:r>
      <w:r>
        <w:rPr>
          <w:rFonts w:ascii="Times New Roman" w:hAnsi="Times New Roman" w:cs="Times New Roman"/>
          <w:b/>
          <w:bCs/>
          <w:i/>
          <w:iCs/>
          <w:sz w:val="22"/>
          <w:szCs w:val="22"/>
          <w:lang w:val="en-GB"/>
        </w:rPr>
        <w:t xml:space="preserve">Proposal </w:t>
      </w:r>
      <w:r>
        <w:rPr>
          <w:rFonts w:hint="eastAsia" w:cs="Times New Roman"/>
          <w:b/>
          <w:bCs/>
          <w:i/>
          <w:iCs/>
          <w:sz w:val="22"/>
          <w:szCs w:val="22"/>
          <w:lang w:val="en-US" w:eastAsia="zh-CN"/>
        </w:rPr>
        <w:t>4</w:t>
      </w:r>
      <w:r>
        <w:rPr>
          <w:rFonts w:ascii="Times New Roman" w:hAnsi="Times New Roman" w:cs="Times New Roman"/>
          <w:b/>
          <w:bCs/>
          <w:i/>
          <w:iCs/>
          <w:sz w:val="22"/>
          <w:szCs w:val="22"/>
          <w:lang w:val="en-GB"/>
        </w:rPr>
        <w:t>:</w:t>
      </w:r>
    </w:p>
    <w:p>
      <w:pPr>
        <w:numPr>
          <w:ilvl w:val="0"/>
          <w:numId w:val="16"/>
        </w:numPr>
        <w:spacing w:after="160" w:line="259" w:lineRule="auto"/>
        <w:ind w:left="420" w:leftChars="0" w:hanging="420"/>
        <w:jc w:val="both"/>
        <w:rPr>
          <w:rFonts w:ascii="Times New Roman" w:hAnsi="Times New Roman" w:eastAsia="MS Mincho" w:cs="Times New Roman"/>
          <w:b/>
          <w:bCs/>
          <w:i/>
          <w:iCs/>
          <w:sz w:val="22"/>
          <w:szCs w:val="24"/>
          <w:lang w:val="en-GB" w:eastAsia="zh-CN" w:bidi="ar-SA"/>
        </w:rPr>
      </w:pPr>
      <w:r>
        <w:rPr>
          <w:rFonts w:ascii="Times New Roman" w:hAnsi="Times New Roman" w:eastAsia="MS Mincho" w:cs="Times New Roman"/>
          <w:b/>
          <w:bCs/>
          <w:i/>
          <w:iCs/>
          <w:sz w:val="22"/>
          <w:szCs w:val="24"/>
          <w:lang w:val="en-GB" w:eastAsia="zh-CN" w:bidi="ar-SA"/>
        </w:rPr>
        <w:t xml:space="preserve">In NR SL resource (re)selection procedure, the PHY layer of NR SL module excludes NR SL candidate resources overlapping with LTE SL resources associated with non-monitored subframe of LTE SL module </w:t>
      </w:r>
    </w:p>
    <w:p>
      <w:pPr>
        <w:numPr>
          <w:ilvl w:val="0"/>
          <w:numId w:val="17"/>
        </w:numPr>
        <w:spacing w:after="160" w:line="259" w:lineRule="auto"/>
        <w:ind w:left="840" w:leftChars="0" w:hanging="420"/>
        <w:jc w:val="both"/>
        <w:rPr>
          <w:rFonts w:ascii="Times New Roman" w:hAnsi="Times New Roman" w:eastAsia="MS Mincho" w:cs="Times New Roman"/>
          <w:b/>
          <w:bCs/>
          <w:i/>
          <w:iCs/>
          <w:sz w:val="22"/>
          <w:szCs w:val="24"/>
          <w:lang w:val="en-GB" w:eastAsia="zh-CN" w:bidi="ar-SA"/>
        </w:rPr>
      </w:pPr>
      <w:r>
        <w:rPr>
          <w:rFonts w:ascii="Times New Roman" w:hAnsi="Times New Roman" w:eastAsia="MS Mincho" w:cs="Times New Roman"/>
          <w:b/>
          <w:bCs/>
          <w:i/>
          <w:iCs/>
          <w:sz w:val="22"/>
          <w:szCs w:val="24"/>
          <w:lang w:val="en-GB" w:eastAsia="zh-CN" w:bidi="ar-SA"/>
        </w:rPr>
        <w:t>For determining the LTE SL resources associated with non-monitored subframe of LTE SL module, all the LTE SL resources in the non-monitored subframes are assumed to be repeatedly reserved Q times according to the formula of Q in TS 36.213 for each LTE SL resource reservation period (pre)configured in a LTE SL resource pool</w:t>
      </w:r>
    </w:p>
    <w:p>
      <w:pPr>
        <w:numPr>
          <w:ilvl w:val="0"/>
          <w:numId w:val="17"/>
        </w:numPr>
        <w:spacing w:after="160" w:line="259" w:lineRule="auto"/>
        <w:ind w:left="840" w:hanging="420"/>
        <w:rPr>
          <w:rFonts w:hint="default" w:eastAsia="MS Mincho"/>
          <w:b/>
          <w:bCs/>
          <w:i/>
          <w:iCs/>
          <w:sz w:val="22"/>
          <w:szCs w:val="24"/>
          <w:lang w:val="en-GB" w:eastAsia="zh-CN"/>
        </w:rPr>
      </w:pPr>
      <w:r>
        <w:rPr>
          <w:rFonts w:ascii="Times New Roman" w:hAnsi="Times New Roman" w:eastAsia="MS Mincho" w:cs="Times New Roman"/>
          <w:b/>
          <w:bCs/>
          <w:i/>
          <w:iCs/>
          <w:sz w:val="22"/>
          <w:szCs w:val="24"/>
          <w:lang w:val="en-GB" w:eastAsia="zh-CN" w:bidi="ar-SA"/>
        </w:rPr>
        <w:t>The PHY layer of NR module applies the above procedure in Step 5 in Section 8.1.4 of TS 38.214</w:t>
      </w:r>
    </w:p>
    <w:p>
      <w:pPr>
        <w:rPr>
          <w:rFonts w:hint="default" w:eastAsia="宋体"/>
          <w:sz w:val="22"/>
          <w:szCs w:val="22"/>
          <w:lang w:val="en-US" w:eastAsia="zh-CN"/>
        </w:rPr>
      </w:pPr>
    </w:p>
    <w:p>
      <w:pPr>
        <w:pStyle w:val="2"/>
      </w:pPr>
      <w:r>
        <w:t>Conclusion</w:t>
      </w:r>
    </w:p>
    <w:p>
      <w:pPr>
        <w:rPr>
          <w:rFonts w:hint="eastAsia" w:eastAsia="宋体"/>
          <w:lang w:val="en-US" w:eastAsia="zh-CN"/>
        </w:rPr>
      </w:pPr>
      <w:r>
        <w:t>In this contribution, we have discussed</w:t>
      </w:r>
      <w:r>
        <w:rPr>
          <w:rFonts w:hint="eastAsia"/>
          <w:bCs/>
          <w:lang w:val="en-US" w:eastAsia="zh-CN"/>
        </w:rPr>
        <w:t xml:space="preserve"> </w:t>
      </w:r>
      <w:r>
        <w:rPr>
          <w:rFonts w:hint="eastAsia"/>
          <w:lang w:val="en-US" w:eastAsia="zh-CN"/>
        </w:rPr>
        <w:t>the co-channel coexistence for LTE sidelink and NR sidelink</w:t>
      </w:r>
      <w:r>
        <w:rPr>
          <w:rFonts w:hint="eastAsia"/>
          <w:bCs/>
          <w:lang w:val="en-US" w:eastAsia="zh-CN"/>
        </w:rPr>
        <w:t>, including the solution of resource partitioning</w:t>
      </w:r>
      <w:r>
        <w:t>.</w:t>
      </w:r>
      <w:bookmarkStart w:id="5" w:name="OLE_LINK40"/>
      <w:bookmarkStart w:id="6" w:name="OLE_LINK4"/>
      <w:bookmarkStart w:id="7" w:name="OLE_LINK39"/>
      <w:bookmarkStart w:id="8" w:name="OLE_LINK3"/>
      <w:bookmarkStart w:id="9" w:name="OLE_LINK6"/>
      <w:bookmarkStart w:id="10" w:name="OLE_LINK5"/>
      <w:r>
        <w:t xml:space="preserve"> Based on the discussion in section 2, we provide the following</w:t>
      </w:r>
      <w:r>
        <w:rPr>
          <w:rFonts w:hint="eastAsia"/>
          <w:lang w:val="en-US" w:eastAsia="zh-CN"/>
        </w:rPr>
        <w:t xml:space="preserve"> </w:t>
      </w:r>
      <w:r>
        <w:t>proposals</w:t>
      </w:r>
      <w:r>
        <w:rPr>
          <w:rFonts w:hint="eastAsia"/>
          <w:lang w:val="en-US" w:eastAsia="zh-CN"/>
        </w:rPr>
        <w:t>:</w:t>
      </w:r>
    </w:p>
    <w:p>
      <w:pPr>
        <w:pStyle w:val="61"/>
        <w:numPr>
          <w:ilvl w:val="0"/>
          <w:numId w:val="0"/>
        </w:numPr>
        <w:ind w:leftChars="0"/>
        <w:jc w:val="both"/>
        <w:rPr>
          <w:rFonts w:hint="eastAsia"/>
          <w:b/>
          <w:i/>
          <w:iCs w:val="0"/>
          <w:strike w:val="0"/>
          <w:dstrike w:val="0"/>
          <w:szCs w:val="20"/>
          <w:lang w:val="en-US" w:eastAsia="zh-CN"/>
        </w:rPr>
      </w:pPr>
      <w:r>
        <w:rPr>
          <w:rFonts w:hint="eastAsia"/>
          <w:b/>
          <w:i/>
          <w:iCs w:val="0"/>
          <w:strike w:val="0"/>
          <w:dstrike w:val="0"/>
          <w:szCs w:val="20"/>
          <w:lang w:val="en-US" w:eastAsia="zh-CN"/>
        </w:rPr>
        <w:t>Proposal 1: For co-channel coexistence in Rel-18, for the study of dynamic resource pool sharing, the information shared by the LTE SL module to the NR SL module contains at least the following parameters:</w:t>
      </w:r>
    </w:p>
    <w:p>
      <w:pPr>
        <w:pStyle w:val="61"/>
        <w:numPr>
          <w:ilvl w:val="0"/>
          <w:numId w:val="12"/>
        </w:numPr>
        <w:ind w:left="840" w:leftChars="0" w:hanging="420" w:firstLineChars="0"/>
        <w:jc w:val="both"/>
        <w:rPr>
          <w:rFonts w:ascii="Times New Roman" w:hAnsi="Times New Roman" w:eastAsia="MS Mincho"/>
          <w:b/>
          <w:i/>
          <w:iCs/>
          <w:color w:val="auto"/>
          <w:szCs w:val="24"/>
          <w:lang w:val="en-GB"/>
        </w:rPr>
      </w:pPr>
      <w:r>
        <w:rPr>
          <w:rFonts w:ascii="Times New Roman" w:hAnsi="Times New Roman" w:eastAsia="MS Mincho"/>
          <w:b/>
          <w:i/>
          <w:iCs/>
          <w:color w:val="auto"/>
          <w:szCs w:val="24"/>
          <w:lang w:val="en-GB"/>
        </w:rPr>
        <w:t>LTE sensing results may include</w:t>
      </w:r>
    </w:p>
    <w:p>
      <w:pPr>
        <w:pStyle w:val="61"/>
        <w:numPr>
          <w:ilvl w:val="0"/>
          <w:numId w:val="13"/>
        </w:numPr>
        <w:ind w:left="1260" w:leftChars="0" w:hanging="420" w:firstLineChars="0"/>
        <w:jc w:val="both"/>
        <w:rPr>
          <w:rFonts w:ascii="Times New Roman" w:hAnsi="Times New Roman" w:eastAsia="MS Mincho"/>
          <w:b/>
          <w:i/>
          <w:iCs/>
          <w:color w:val="auto"/>
          <w:szCs w:val="24"/>
          <w:lang w:val="en-GB"/>
        </w:rPr>
      </w:pPr>
      <w:r>
        <w:rPr>
          <w:rFonts w:ascii="Times New Roman" w:hAnsi="Times New Roman" w:eastAsia="MS Mincho"/>
          <w:b/>
          <w:i/>
          <w:iCs/>
          <w:color w:val="auto"/>
          <w:szCs w:val="24"/>
          <w:lang w:val="en-GB"/>
        </w:rPr>
        <w:t>Time and frequency locations of LTE transmissions</w:t>
      </w:r>
    </w:p>
    <w:p>
      <w:pPr>
        <w:pStyle w:val="61"/>
        <w:numPr>
          <w:ilvl w:val="0"/>
          <w:numId w:val="13"/>
        </w:numPr>
        <w:ind w:left="1260" w:leftChars="0" w:hanging="420" w:firstLineChars="0"/>
        <w:jc w:val="both"/>
        <w:rPr>
          <w:rFonts w:ascii="Times New Roman" w:hAnsi="Times New Roman" w:eastAsia="MS Mincho"/>
          <w:b/>
          <w:i/>
          <w:iCs/>
          <w:color w:val="auto"/>
          <w:szCs w:val="24"/>
          <w:lang w:val="en-GB"/>
        </w:rPr>
      </w:pPr>
      <w:r>
        <w:rPr>
          <w:rFonts w:ascii="Times New Roman" w:hAnsi="Times New Roman" w:eastAsia="MS Mincho"/>
          <w:b/>
          <w:i/>
          <w:iCs/>
          <w:color w:val="auto"/>
          <w:szCs w:val="24"/>
          <w:lang w:val="en-GB"/>
        </w:rPr>
        <w:t>Resource reservation periods</w:t>
      </w:r>
    </w:p>
    <w:p>
      <w:pPr>
        <w:pStyle w:val="61"/>
        <w:numPr>
          <w:ilvl w:val="0"/>
          <w:numId w:val="13"/>
        </w:numPr>
        <w:ind w:left="1260" w:leftChars="0" w:hanging="420" w:firstLineChars="0"/>
        <w:jc w:val="both"/>
        <w:rPr>
          <w:rFonts w:ascii="Times New Roman" w:hAnsi="Times New Roman" w:eastAsia="MS Mincho"/>
          <w:b/>
          <w:i/>
          <w:iCs/>
          <w:color w:val="auto"/>
          <w:szCs w:val="24"/>
          <w:lang w:val="en-GB"/>
        </w:rPr>
      </w:pPr>
      <w:r>
        <w:rPr>
          <w:rFonts w:ascii="Times New Roman" w:hAnsi="Times New Roman" w:eastAsia="MS Mincho"/>
          <w:b/>
          <w:i/>
          <w:iCs/>
          <w:color w:val="auto"/>
          <w:szCs w:val="24"/>
          <w:lang w:val="en-GB"/>
        </w:rPr>
        <w:t>SL RSRP measurement results</w:t>
      </w:r>
    </w:p>
    <w:p>
      <w:pPr>
        <w:pStyle w:val="61"/>
        <w:numPr>
          <w:ilvl w:val="0"/>
          <w:numId w:val="13"/>
        </w:numPr>
        <w:ind w:left="1260" w:leftChars="0" w:hanging="420" w:firstLineChars="0"/>
        <w:jc w:val="both"/>
        <w:rPr>
          <w:rFonts w:ascii="Times New Roman" w:hAnsi="Times New Roman" w:eastAsia="MS Mincho"/>
          <w:b/>
          <w:i/>
          <w:iCs/>
          <w:color w:val="auto"/>
          <w:szCs w:val="24"/>
          <w:lang w:val="en-GB"/>
        </w:rPr>
      </w:pPr>
      <w:r>
        <w:rPr>
          <w:rFonts w:ascii="Times New Roman" w:hAnsi="Times New Roman" w:eastAsia="MS Mincho"/>
          <w:b/>
          <w:i/>
          <w:iCs/>
          <w:color w:val="auto"/>
          <w:szCs w:val="24"/>
          <w:lang w:val="en-GB"/>
        </w:rPr>
        <w:t>Priority</w:t>
      </w:r>
    </w:p>
    <w:p>
      <w:pPr>
        <w:pStyle w:val="61"/>
        <w:numPr>
          <w:ilvl w:val="0"/>
          <w:numId w:val="13"/>
        </w:numPr>
        <w:ind w:left="1260" w:leftChars="0" w:hanging="420" w:firstLineChars="0"/>
        <w:jc w:val="both"/>
        <w:rPr>
          <w:rFonts w:ascii="Times New Roman" w:hAnsi="Times New Roman" w:eastAsia="MS Mincho"/>
          <w:b/>
          <w:i/>
          <w:iCs/>
          <w:color w:val="auto"/>
          <w:szCs w:val="24"/>
          <w:lang w:val="en-GB"/>
        </w:rPr>
      </w:pPr>
      <w:r>
        <w:rPr>
          <w:rFonts w:ascii="Times New Roman" w:hAnsi="Times New Roman" w:eastAsia="MS Mincho"/>
          <w:b/>
          <w:i/>
          <w:iCs/>
          <w:color w:val="auto"/>
          <w:szCs w:val="24"/>
          <w:lang w:val="en-GB"/>
        </w:rPr>
        <w:t>Resources corresponding to half-duplex subframes which are not monitored by the LTE SL UE</w:t>
      </w:r>
    </w:p>
    <w:p>
      <w:pPr>
        <w:numPr>
          <w:ilvl w:val="-1"/>
          <w:numId w:val="0"/>
        </w:numPr>
        <w:overflowPunct/>
        <w:autoSpaceDE/>
        <w:autoSpaceDN/>
        <w:adjustRightInd/>
        <w:spacing w:after="0" w:line="240" w:lineRule="auto"/>
        <w:ind w:left="0" w:leftChars="0" w:firstLine="0" w:firstLineChars="0"/>
        <w:jc w:val="left"/>
        <w:textAlignment w:val="auto"/>
        <w:rPr>
          <w:rFonts w:ascii="Times New Roman" w:hAnsi="Times New Roman" w:eastAsia="MS Mincho" w:cs="Times New Roman"/>
          <w:b/>
          <w:bCs/>
          <w:i/>
          <w:iCs/>
          <w:sz w:val="22"/>
          <w:szCs w:val="24"/>
          <w:lang w:val="en-GB" w:eastAsia="en-US" w:bidi="ar-SA"/>
        </w:rPr>
      </w:pPr>
      <w:r>
        <w:rPr>
          <w:rFonts w:hint="eastAsia" w:eastAsia="宋体"/>
          <w:b/>
          <w:bCs/>
          <w:i/>
          <w:iCs/>
          <w:sz w:val="22"/>
          <w:szCs w:val="22"/>
          <w:lang w:val="en-US" w:eastAsia="zh-CN"/>
        </w:rPr>
        <w:t xml:space="preserve">Proposal </w:t>
      </w:r>
      <w:r>
        <w:rPr>
          <w:rFonts w:hint="eastAsia"/>
          <w:b/>
          <w:bCs/>
          <w:i/>
          <w:iCs/>
          <w:sz w:val="22"/>
          <w:szCs w:val="22"/>
          <w:lang w:val="en-US" w:eastAsia="zh-CN"/>
        </w:rPr>
        <w:t>2</w:t>
      </w:r>
      <w:r>
        <w:rPr>
          <w:rFonts w:hint="eastAsia" w:eastAsia="宋体"/>
          <w:b/>
          <w:bCs/>
          <w:i/>
          <w:iCs/>
          <w:sz w:val="22"/>
          <w:szCs w:val="22"/>
          <w:lang w:val="en-US" w:eastAsia="zh-CN"/>
        </w:rPr>
        <w:t>:</w:t>
      </w:r>
      <w:r>
        <w:rPr>
          <w:rFonts w:hint="eastAsia"/>
          <w:b/>
          <w:bCs/>
          <w:i/>
          <w:iCs/>
          <w:sz w:val="22"/>
          <w:szCs w:val="22"/>
          <w:lang w:val="en-US" w:eastAsia="zh-CN"/>
        </w:rPr>
        <w:t xml:space="preserve"> For NR SL resource (re)selection procedure, SL RSRP threshold list should be separately (pre)configured for dynamic resource pool sharing.</w:t>
      </w:r>
    </w:p>
    <w:p>
      <w:pPr>
        <w:pStyle w:val="61"/>
        <w:numPr>
          <w:ilvl w:val="0"/>
          <w:numId w:val="0"/>
        </w:numPr>
        <w:autoSpaceDE w:val="0"/>
        <w:autoSpaceDN w:val="0"/>
        <w:adjustRightInd/>
        <w:snapToGrid/>
        <w:spacing w:after="0"/>
        <w:ind w:left="0" w:firstLine="0"/>
        <w:jc w:val="both"/>
        <w:rPr>
          <w:rFonts w:hint="eastAsia" w:ascii="Times New Roman" w:hAnsi="Times New Roman" w:eastAsia="宋体" w:cs="Times New Roman"/>
          <w:b/>
          <w:bCs w:val="0"/>
          <w:i/>
          <w:iCs w:val="0"/>
          <w:sz w:val="22"/>
          <w:szCs w:val="20"/>
          <w:lang w:val="en-US" w:eastAsia="zh-CN"/>
        </w:rPr>
      </w:pPr>
      <w:r>
        <w:rPr>
          <w:rFonts w:hint="eastAsia"/>
          <w:b/>
          <w:bCs w:val="0"/>
          <w:i/>
          <w:iCs w:val="0"/>
          <w:sz w:val="22"/>
          <w:szCs w:val="20"/>
          <w:lang w:val="en-US" w:eastAsia="zh-CN"/>
        </w:rPr>
        <w:t xml:space="preserve">Proposal 3: The PHY </w:t>
      </w:r>
      <w:r>
        <w:rPr>
          <w:rFonts w:hint="eastAsia" w:ascii="Times New Roman" w:hAnsi="Times New Roman" w:eastAsia="宋体" w:cs="Times New Roman"/>
          <w:b/>
          <w:bCs w:val="0"/>
          <w:i/>
          <w:iCs w:val="0"/>
          <w:sz w:val="22"/>
          <w:szCs w:val="20"/>
          <w:lang w:val="en-US" w:eastAsia="zh-CN"/>
        </w:rPr>
        <w:t>layer of NR SL module determines NR SL candidate resources regardless of whether the NR SL candidate resources are in a NR SL slot overlapping with LTE SL resources selected to be used for LTE SL module</w:t>
      </w:r>
      <w:r>
        <w:rPr>
          <w:rFonts w:hint="default" w:cs="Times New Roman"/>
          <w:b/>
          <w:bCs w:val="0"/>
          <w:i/>
          <w:iCs w:val="0"/>
          <w:sz w:val="22"/>
          <w:szCs w:val="20"/>
          <w:lang w:val="en-US" w:eastAsia="zh-CN"/>
        </w:rPr>
        <w:t>’</w:t>
      </w:r>
      <w:r>
        <w:rPr>
          <w:rFonts w:hint="eastAsia" w:ascii="Times New Roman" w:hAnsi="Times New Roman" w:eastAsia="宋体" w:cs="Times New Roman"/>
          <w:b/>
          <w:bCs w:val="0"/>
          <w:i/>
          <w:iCs w:val="0"/>
          <w:sz w:val="22"/>
          <w:szCs w:val="20"/>
          <w:lang w:val="en-US" w:eastAsia="zh-CN"/>
        </w:rPr>
        <w:t>s own LTE SL transmission</w:t>
      </w:r>
    </w:p>
    <w:p>
      <w:pPr>
        <w:numPr>
          <w:ilvl w:val="0"/>
          <w:numId w:val="15"/>
        </w:numPr>
        <w:autoSpaceDE/>
        <w:autoSpaceDN/>
        <w:adjustRightInd/>
        <w:snapToGrid/>
        <w:spacing w:after="0" w:line="240" w:lineRule="auto"/>
        <w:ind w:left="720" w:hanging="360"/>
        <w:jc w:val="left"/>
        <w:rPr>
          <w:rFonts w:ascii="Times New Roman" w:hAnsi="Times New Roman" w:cs="Times New Roman"/>
          <w:b/>
          <w:bCs/>
          <w:i/>
          <w:iCs/>
          <w:sz w:val="22"/>
          <w:szCs w:val="22"/>
          <w:lang w:val="en-GB"/>
        </w:rPr>
      </w:pPr>
      <w:r>
        <w:rPr>
          <w:rFonts w:ascii="Times New Roman" w:hAnsi="Times New Roman" w:eastAsia="MS Mincho" w:cs="Times New Roman"/>
          <w:b/>
          <w:bCs/>
          <w:i/>
          <w:iCs/>
          <w:sz w:val="22"/>
          <w:szCs w:val="22"/>
          <w:lang w:val="en-GB" w:eastAsia="zh-CN"/>
        </w:rPr>
        <w:t>UE selects either LTE SL transmission or NR SL transmission according to Rel-16 NR SL in-device coexistence rule</w:t>
      </w:r>
    </w:p>
    <w:p>
      <w:pPr>
        <w:numPr>
          <w:ilvl w:val="-1"/>
          <w:numId w:val="0"/>
        </w:numPr>
        <w:autoSpaceDE/>
        <w:autoSpaceDN/>
        <w:adjustRightInd/>
        <w:snapToGrid/>
        <w:spacing w:after="160" w:line="259" w:lineRule="auto"/>
        <w:ind w:left="0" w:firstLine="0"/>
        <w:jc w:val="both"/>
        <w:rPr>
          <w:rFonts w:ascii="Times New Roman" w:hAnsi="Times New Roman" w:eastAsia="바탕" w:cs="Times New Roman"/>
          <w:b/>
          <w:bCs/>
          <w:i/>
          <w:iCs/>
          <w:sz w:val="22"/>
          <w:szCs w:val="22"/>
          <w:lang w:val="en-GB" w:eastAsia="zh-CN"/>
        </w:rPr>
      </w:pPr>
      <w:r>
        <w:rPr>
          <w:rFonts w:ascii="Times New Roman" w:hAnsi="Times New Roman" w:cs="Times New Roman"/>
          <w:b/>
          <w:bCs/>
          <w:i/>
          <w:iCs/>
          <w:sz w:val="22"/>
          <w:szCs w:val="22"/>
          <w:lang w:val="en-GB"/>
        </w:rPr>
        <w:t xml:space="preserve">Proposal </w:t>
      </w:r>
      <w:r>
        <w:rPr>
          <w:rFonts w:hint="eastAsia" w:cs="Times New Roman"/>
          <w:b/>
          <w:bCs/>
          <w:i/>
          <w:iCs/>
          <w:sz w:val="22"/>
          <w:szCs w:val="22"/>
          <w:lang w:val="en-US" w:eastAsia="zh-CN"/>
        </w:rPr>
        <w:t>4</w:t>
      </w:r>
      <w:r>
        <w:rPr>
          <w:rFonts w:ascii="Times New Roman" w:hAnsi="Times New Roman" w:cs="Times New Roman"/>
          <w:b/>
          <w:bCs/>
          <w:i/>
          <w:iCs/>
          <w:sz w:val="22"/>
          <w:szCs w:val="22"/>
          <w:lang w:val="en-GB"/>
        </w:rPr>
        <w:t>:</w:t>
      </w:r>
    </w:p>
    <w:p>
      <w:pPr>
        <w:numPr>
          <w:ilvl w:val="0"/>
          <w:numId w:val="16"/>
        </w:numPr>
        <w:spacing w:after="160" w:line="259" w:lineRule="auto"/>
        <w:ind w:left="420" w:leftChars="0" w:hanging="420"/>
        <w:jc w:val="both"/>
        <w:rPr>
          <w:rFonts w:ascii="Times New Roman" w:hAnsi="Times New Roman" w:eastAsia="MS Mincho" w:cs="Times New Roman"/>
          <w:b/>
          <w:bCs/>
          <w:i/>
          <w:iCs/>
          <w:sz w:val="22"/>
          <w:szCs w:val="24"/>
          <w:lang w:val="en-GB" w:eastAsia="zh-CN" w:bidi="ar-SA"/>
        </w:rPr>
      </w:pPr>
      <w:r>
        <w:rPr>
          <w:rFonts w:ascii="Times New Roman" w:hAnsi="Times New Roman" w:eastAsia="MS Mincho" w:cs="Times New Roman"/>
          <w:b/>
          <w:bCs/>
          <w:i/>
          <w:iCs/>
          <w:sz w:val="22"/>
          <w:szCs w:val="24"/>
          <w:lang w:val="en-GB" w:eastAsia="zh-CN" w:bidi="ar-SA"/>
        </w:rPr>
        <w:t xml:space="preserve">In NR SL resource (re)selection procedure, the PHY layer of NR SL module excludes NR SL candidate resources overlapping with LTE SL resources associated with non-monitored subframe of LTE SL module </w:t>
      </w:r>
    </w:p>
    <w:p>
      <w:pPr>
        <w:numPr>
          <w:ilvl w:val="0"/>
          <w:numId w:val="17"/>
        </w:numPr>
        <w:spacing w:after="160" w:line="259" w:lineRule="auto"/>
        <w:ind w:left="840" w:leftChars="0" w:hanging="420"/>
        <w:jc w:val="both"/>
        <w:rPr>
          <w:rFonts w:ascii="Times New Roman" w:hAnsi="Times New Roman" w:eastAsia="MS Mincho" w:cs="Times New Roman"/>
          <w:b/>
          <w:bCs/>
          <w:i/>
          <w:iCs/>
          <w:sz w:val="22"/>
          <w:szCs w:val="24"/>
          <w:lang w:val="en-GB" w:eastAsia="zh-CN" w:bidi="ar-SA"/>
        </w:rPr>
      </w:pPr>
      <w:r>
        <w:rPr>
          <w:rFonts w:ascii="Times New Roman" w:hAnsi="Times New Roman" w:eastAsia="MS Mincho" w:cs="Times New Roman"/>
          <w:b/>
          <w:bCs/>
          <w:i/>
          <w:iCs/>
          <w:sz w:val="22"/>
          <w:szCs w:val="24"/>
          <w:lang w:val="en-GB" w:eastAsia="zh-CN" w:bidi="ar-SA"/>
        </w:rPr>
        <w:t>For determining the LTE SL resources associated with non-monitored subframe of LTE SL module, all the LTE SL resources in the non-monitored subframes are assumed to be repeatedly reserved Q times according to the formula of Q in TS 36.213 for each LTE SL resource reservation period (pre)configured in a LTE SL resource pool</w:t>
      </w:r>
    </w:p>
    <w:p>
      <w:pPr>
        <w:numPr>
          <w:ilvl w:val="0"/>
          <w:numId w:val="17"/>
        </w:numPr>
        <w:spacing w:after="160" w:line="259" w:lineRule="auto"/>
        <w:ind w:left="840" w:hanging="420"/>
        <w:rPr>
          <w:rFonts w:hint="default" w:eastAsia="MS Mincho"/>
          <w:b/>
          <w:bCs/>
          <w:i/>
          <w:iCs/>
          <w:sz w:val="22"/>
          <w:szCs w:val="24"/>
          <w:lang w:val="en-GB" w:eastAsia="zh-CN"/>
        </w:rPr>
      </w:pPr>
      <w:r>
        <w:rPr>
          <w:rFonts w:ascii="Times New Roman" w:hAnsi="Times New Roman" w:eastAsia="MS Mincho" w:cs="Times New Roman"/>
          <w:b/>
          <w:bCs/>
          <w:i/>
          <w:iCs/>
          <w:sz w:val="22"/>
          <w:szCs w:val="24"/>
          <w:lang w:val="en-GB" w:eastAsia="zh-CN" w:bidi="ar-SA"/>
        </w:rPr>
        <w:t>The PHY layer of NR module applies the above procedure in Step 5 in Section 8.1.4 of TS 38.214</w:t>
      </w:r>
    </w:p>
    <w:p>
      <w:pPr>
        <w:rPr>
          <w:rFonts w:hint="default"/>
          <w:b/>
          <w:i/>
          <w:szCs w:val="20"/>
          <w:lang w:val="en-US" w:eastAsia="zh-CN"/>
        </w:rPr>
      </w:pPr>
    </w:p>
    <w:p>
      <w:pPr>
        <w:rPr>
          <w:rFonts w:hint="eastAsia"/>
          <w:b/>
          <w:i/>
          <w:szCs w:val="20"/>
          <w:lang w:val="en-US" w:eastAsia="zh-CN"/>
        </w:rPr>
      </w:pPr>
    </w:p>
    <w:bookmarkEnd w:id="5"/>
    <w:bookmarkEnd w:id="6"/>
    <w:bookmarkEnd w:id="7"/>
    <w:bookmarkEnd w:id="8"/>
    <w:bookmarkEnd w:id="9"/>
    <w:bookmarkEnd w:id="10"/>
    <w:p>
      <w:pPr>
        <w:pStyle w:val="2"/>
      </w:pPr>
      <w:r>
        <w:t>Reference</w:t>
      </w:r>
    </w:p>
    <w:bookmarkEnd w:id="2"/>
    <w:p>
      <w:pPr>
        <w:pStyle w:val="61"/>
        <w:numPr>
          <w:ilvl w:val="0"/>
          <w:numId w:val="20"/>
        </w:numPr>
        <w:ind w:firstLineChars="0"/>
        <w:jc w:val="left"/>
        <w:rPr>
          <w:lang w:eastAsia="zh-CN"/>
        </w:rPr>
      </w:pPr>
      <w:r>
        <w:rPr>
          <w:lang w:eastAsia="zh-CN"/>
        </w:rPr>
        <w:t>R</w:t>
      </w:r>
      <w:r>
        <w:rPr>
          <w:rFonts w:hint="eastAsia"/>
          <w:lang w:val="en-US" w:eastAsia="zh-CN"/>
        </w:rPr>
        <w:t>P-230077</w:t>
      </w:r>
      <w:r>
        <w:rPr>
          <w:rFonts w:hint="eastAsia"/>
          <w:lang w:val="en-US" w:eastAsia="zh-CN"/>
        </w:rPr>
        <w:tab/>
      </w:r>
      <w:r>
        <w:rPr>
          <w:rFonts w:hint="eastAsia"/>
          <w:lang w:val="en-US" w:eastAsia="zh-CN"/>
        </w:rPr>
        <w:tab/>
      </w:r>
      <w:r>
        <w:rPr>
          <w:rFonts w:hint="eastAsia"/>
          <w:lang w:val="en-US" w:eastAsia="zh-CN"/>
        </w:rPr>
        <w:t>WID revision: NR sidelink evolution</w:t>
      </w:r>
      <w:r>
        <w:rPr>
          <w:lang w:eastAsia="zh-CN"/>
        </w:rPr>
        <w:t xml:space="preserve">, </w:t>
      </w:r>
      <w:r>
        <w:rPr>
          <w:rFonts w:hint="eastAsia"/>
          <w:lang w:val="en-US" w:eastAsia="zh-CN"/>
        </w:rPr>
        <w:tab/>
      </w:r>
      <w:r>
        <w:rPr>
          <w:rFonts w:hint="eastAsia"/>
          <w:lang w:val="en-US" w:eastAsia="zh-CN"/>
        </w:rPr>
        <w:t xml:space="preserve">OPPO, </w:t>
      </w:r>
      <w:r>
        <w:rPr>
          <w:rFonts w:hint="eastAsia"/>
          <w:lang w:val="en-US" w:eastAsia="zh-CN"/>
        </w:rPr>
        <w:tab/>
      </w:r>
      <w:r>
        <w:rPr>
          <w:lang w:eastAsia="zh-CN"/>
        </w:rPr>
        <w:t>202</w:t>
      </w:r>
      <w:r>
        <w:rPr>
          <w:rFonts w:hint="eastAsia"/>
          <w:lang w:val="en-US" w:eastAsia="zh-CN"/>
        </w:rPr>
        <w:t>3</w:t>
      </w:r>
      <w:r>
        <w:rPr>
          <w:lang w:eastAsia="zh-CN"/>
        </w:rPr>
        <w:t>-</w:t>
      </w:r>
      <w:r>
        <w:rPr>
          <w:rFonts w:hint="eastAsia"/>
          <w:lang w:val="en-US" w:eastAsia="zh-CN"/>
        </w:rPr>
        <w:t>03</w:t>
      </w:r>
    </w:p>
    <w:p>
      <w:pPr>
        <w:pStyle w:val="61"/>
        <w:numPr>
          <w:ilvl w:val="0"/>
          <w:numId w:val="20"/>
        </w:numPr>
        <w:ind w:firstLineChars="0"/>
        <w:jc w:val="left"/>
        <w:rPr>
          <w:lang w:eastAsia="zh-CN"/>
        </w:rPr>
      </w:pPr>
      <w:r>
        <w:rPr>
          <w:rFonts w:hint="eastAsia"/>
          <w:lang w:val="en-US" w:eastAsia="zh-CN"/>
        </w:rPr>
        <w:t>Draft_Minutes_report_RAN#110bis-e_v010, 2022-10</w:t>
      </w:r>
    </w:p>
    <w:p>
      <w:pPr>
        <w:pStyle w:val="61"/>
        <w:numPr>
          <w:ilvl w:val="0"/>
          <w:numId w:val="20"/>
        </w:numPr>
        <w:ind w:firstLineChars="0"/>
        <w:jc w:val="left"/>
        <w:rPr>
          <w:lang w:eastAsia="zh-CN"/>
        </w:rPr>
      </w:pPr>
      <w:r>
        <w:rPr>
          <w:rFonts w:hint="eastAsia"/>
          <w:lang w:eastAsia="zh-CN"/>
        </w:rPr>
        <w:t>Draft_Minutes_report_RAN1#1</w:t>
      </w:r>
      <w:r>
        <w:rPr>
          <w:rFonts w:hint="eastAsia"/>
          <w:lang w:val="en-US" w:eastAsia="zh-CN"/>
        </w:rPr>
        <w:t>12</w:t>
      </w:r>
      <w:r>
        <w:rPr>
          <w:rFonts w:hint="eastAsia"/>
          <w:lang w:eastAsia="zh-CN"/>
        </w:rPr>
        <w:t>_v0</w:t>
      </w:r>
      <w:r>
        <w:rPr>
          <w:rFonts w:hint="eastAsia"/>
          <w:lang w:val="en-US" w:eastAsia="zh-CN"/>
        </w:rPr>
        <w:t>2</w:t>
      </w:r>
      <w:r>
        <w:rPr>
          <w:rFonts w:hint="eastAsia"/>
          <w:lang w:eastAsia="zh-CN"/>
        </w:rPr>
        <w:t>0</w:t>
      </w:r>
      <w:r>
        <w:rPr>
          <w:rFonts w:hint="eastAsia"/>
          <w:lang w:val="en-US" w:eastAsia="zh-CN"/>
        </w:rPr>
        <w:t>, 2023-03</w:t>
      </w:r>
    </w:p>
    <w:p>
      <w:pPr>
        <w:pStyle w:val="61"/>
        <w:numPr>
          <w:ilvl w:val="0"/>
          <w:numId w:val="20"/>
        </w:numPr>
        <w:ind w:firstLineChars="0"/>
        <w:jc w:val="left"/>
        <w:rPr>
          <w:lang w:eastAsia="zh-CN"/>
        </w:rPr>
      </w:pPr>
      <w:r>
        <w:rPr>
          <w:rFonts w:hint="eastAsia"/>
          <w:lang w:val="en-US" w:eastAsia="zh-CN"/>
        </w:rPr>
        <w:t>R1-2301855</w:t>
      </w:r>
      <w:r>
        <w:rPr>
          <w:rFonts w:hint="eastAsia"/>
          <w:lang w:val="en-US" w:eastAsia="zh-CN"/>
        </w:rPr>
        <w:tab/>
      </w:r>
      <w:r>
        <w:rPr>
          <w:rFonts w:hint="eastAsia"/>
          <w:lang w:val="en-US" w:eastAsia="zh-CN"/>
        </w:rPr>
        <w:t>Feature lead summary #3 for AI 9.4.2: Co-channel coexistence for LTE sidelink and NR sidelink, LGE, 2023-03</w:t>
      </w:r>
    </w:p>
    <w:p>
      <w:pPr>
        <w:pStyle w:val="61"/>
        <w:numPr>
          <w:ilvl w:val="0"/>
          <w:numId w:val="0"/>
        </w:numPr>
        <w:ind w:leftChars="0"/>
        <w:jc w:val="left"/>
        <w:rPr>
          <w:lang w:eastAsia="zh-CN"/>
        </w:rPr>
      </w:pPr>
    </w:p>
    <w:sectPr>
      <w:pgSz w:w="11909" w:h="16834"/>
      <w:pgMar w:top="1440" w:right="1152" w:bottom="1440" w:left="144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MS Mincho">
    <w:altName w:val="Yu Gothic UI"/>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Times-Roman">
    <w:altName w:val="Times New Roman"/>
    <w:panose1 w:val="00000000000000000000"/>
    <w:charset w:val="00"/>
    <w:family w:val="auto"/>
    <w:pitch w:val="default"/>
    <w:sig w:usb0="00000000" w:usb1="00000000" w:usb2="00000000" w:usb3="00000000" w:csb0="00040001" w:csb1="00000000"/>
  </w:font>
  <w:font w:name="Times-Italic">
    <w:altName w:val="Segoe Print"/>
    <w:panose1 w:val="00000000000000000000"/>
    <w:charset w:val="00"/>
    <w:family w:val="auto"/>
    <w:pitch w:val="default"/>
    <w:sig w:usb0="00000000" w:usb1="00000000" w:usb2="00000000" w:usb3="00000000" w:csb0="00040001" w:csb1="00000000"/>
  </w:font>
  <w:font w:name="바탕">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E5B89C"/>
    <w:multiLevelType w:val="singleLevel"/>
    <w:tmpl w:val="88E5B89C"/>
    <w:lvl w:ilvl="0" w:tentative="0">
      <w:start w:val="1"/>
      <w:numFmt w:val="bullet"/>
      <w:lvlText w:val=""/>
      <w:lvlJc w:val="left"/>
      <w:pPr>
        <w:tabs>
          <w:tab w:val="left" w:pos="840"/>
        </w:tabs>
        <w:ind w:left="1260" w:hanging="420"/>
      </w:pPr>
      <w:rPr>
        <w:rFonts w:hint="default" w:ascii="Wingdings" w:hAnsi="Wingdings"/>
      </w:rPr>
    </w:lvl>
  </w:abstractNum>
  <w:abstractNum w:abstractNumId="1">
    <w:nsid w:val="A1F01588"/>
    <w:multiLevelType w:val="singleLevel"/>
    <w:tmpl w:val="A1F01588"/>
    <w:lvl w:ilvl="0" w:tentative="0">
      <w:start w:val="1"/>
      <w:numFmt w:val="bullet"/>
      <w:lvlText w:val=""/>
      <w:lvlJc w:val="left"/>
      <w:pPr>
        <w:tabs>
          <w:tab w:val="left" w:pos="840"/>
        </w:tabs>
        <w:ind w:left="1260" w:hanging="420"/>
      </w:pPr>
      <w:rPr>
        <w:rFonts w:hint="default" w:ascii="Wingdings" w:hAnsi="Wingdings"/>
      </w:rPr>
    </w:lvl>
  </w:abstractNum>
  <w:abstractNum w:abstractNumId="2">
    <w:nsid w:val="D63056A3"/>
    <w:multiLevelType w:val="singleLevel"/>
    <w:tmpl w:val="D63056A3"/>
    <w:lvl w:ilvl="0" w:tentative="0">
      <w:start w:val="4"/>
      <w:numFmt w:val="decimal"/>
      <w:suff w:val="space"/>
      <w:lvlText w:val="%1."/>
      <w:lvlJc w:val="left"/>
    </w:lvl>
  </w:abstractNum>
  <w:abstractNum w:abstractNumId="3">
    <w:nsid w:val="E94D4C6E"/>
    <w:multiLevelType w:val="singleLevel"/>
    <w:tmpl w:val="E94D4C6E"/>
    <w:lvl w:ilvl="0" w:tentative="0">
      <w:start w:val="1"/>
      <w:numFmt w:val="bullet"/>
      <w:lvlText w:val=""/>
      <w:lvlJc w:val="left"/>
      <w:pPr>
        <w:tabs>
          <w:tab w:val="left" w:pos="420"/>
        </w:tabs>
        <w:ind w:left="840" w:hanging="420"/>
      </w:pPr>
      <w:rPr>
        <w:rFonts w:hint="default" w:ascii="Wingdings" w:hAnsi="Wingdings"/>
      </w:rPr>
    </w:lvl>
  </w:abstractNum>
  <w:abstractNum w:abstractNumId="4">
    <w:nsid w:val="08F13F9C"/>
    <w:multiLevelType w:val="multilevel"/>
    <w:tmpl w:val="08F13F9C"/>
    <w:lvl w:ilvl="0" w:tentative="0">
      <w:start w:val="1"/>
      <w:numFmt w:val="bullet"/>
      <w:lvlText w:val="-"/>
      <w:lvlJc w:val="left"/>
      <w:pPr>
        <w:ind w:left="720" w:hanging="360"/>
      </w:pPr>
      <w:rPr>
        <w:rFonts w:hint="default" w:ascii="Times" w:hAnsi="Times" w:eastAsia="Malgun Gothic"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6">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6A2AB29"/>
    <w:multiLevelType w:val="singleLevel"/>
    <w:tmpl w:val="36A2AB29"/>
    <w:lvl w:ilvl="0" w:tentative="0">
      <w:start w:val="1"/>
      <w:numFmt w:val="bullet"/>
      <w:lvlText w:val=""/>
      <w:lvlJc w:val="left"/>
      <w:pPr>
        <w:tabs>
          <w:tab w:val="left" w:pos="420"/>
        </w:tabs>
        <w:ind w:left="840" w:hanging="420"/>
      </w:pPr>
      <w:rPr>
        <w:rFonts w:hint="default" w:ascii="Wingdings" w:hAnsi="Wingdings"/>
      </w:rPr>
    </w:lvl>
  </w:abstractNum>
  <w:abstractNum w:abstractNumId="8">
    <w:nsid w:val="3A877D64"/>
    <w:multiLevelType w:val="singleLevel"/>
    <w:tmpl w:val="3A877D64"/>
    <w:lvl w:ilvl="0" w:tentative="0">
      <w:start w:val="1"/>
      <w:numFmt w:val="decimal"/>
      <w:pStyle w:val="43"/>
      <w:lvlText w:val="[%1]"/>
      <w:lvlJc w:val="left"/>
      <w:pPr>
        <w:tabs>
          <w:tab w:val="left" w:pos="360"/>
        </w:tabs>
        <w:ind w:left="360" w:hanging="360"/>
      </w:pPr>
    </w:lvl>
  </w:abstractNum>
  <w:abstractNum w:abstractNumId="9">
    <w:nsid w:val="43BE0782"/>
    <w:multiLevelType w:val="multilevel"/>
    <w:tmpl w:val="43BE078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445D2774"/>
    <w:multiLevelType w:val="singleLevel"/>
    <w:tmpl w:val="445D2774"/>
    <w:lvl w:ilvl="0" w:tentative="0">
      <w:start w:val="1"/>
      <w:numFmt w:val="bullet"/>
      <w:lvlText w:val=""/>
      <w:lvlJc w:val="left"/>
      <w:pPr>
        <w:tabs>
          <w:tab w:val="left" w:pos="420"/>
        </w:tabs>
        <w:ind w:left="840" w:hanging="420"/>
      </w:pPr>
      <w:rPr>
        <w:rFonts w:hint="default" w:ascii="Wingdings" w:hAnsi="Wingdings"/>
      </w:rPr>
    </w:lvl>
  </w:abstractNum>
  <w:abstractNum w:abstractNumId="11">
    <w:nsid w:val="44EA008F"/>
    <w:multiLevelType w:val="multilevel"/>
    <w:tmpl w:val="44EA008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5E05BD5"/>
    <w:multiLevelType w:val="multilevel"/>
    <w:tmpl w:val="45E05BD5"/>
    <w:lvl w:ilvl="0" w:tentative="0">
      <w:start w:val="1"/>
      <w:numFmt w:val="decimal"/>
      <w:pStyle w:val="56"/>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9905A81"/>
    <w:multiLevelType w:val="multilevel"/>
    <w:tmpl w:val="49905A8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4B8F6327"/>
    <w:multiLevelType w:val="multilevel"/>
    <w:tmpl w:val="4B8F6327"/>
    <w:lvl w:ilvl="0" w:tentative="0">
      <w:start w:val="4"/>
      <w:numFmt w:val="decimal"/>
      <w:lvlText w:val="%1"/>
      <w:lvlJc w:val="left"/>
      <w:pPr>
        <w:ind w:left="405" w:hanging="405"/>
      </w:pPr>
      <w:rPr>
        <w:rFonts w:hint="default"/>
      </w:rPr>
    </w:lvl>
    <w:lvl w:ilvl="1" w:tentative="0">
      <w:start w:val="1"/>
      <w:numFmt w:val="decimal"/>
      <w:lvlText w:val="%1.%2"/>
      <w:lvlJc w:val="left"/>
      <w:pPr>
        <w:ind w:left="405" w:hanging="40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720" w:hanging="72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15">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74CC7506"/>
    <w:multiLevelType w:val="multilevel"/>
    <w:tmpl w:val="74CC7506"/>
    <w:lvl w:ilvl="0" w:tentative="0">
      <w:start w:val="1"/>
      <w:numFmt w:val="decimal"/>
      <w:pStyle w:val="45"/>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6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BC330F5"/>
    <w:multiLevelType w:val="multilevel"/>
    <w:tmpl w:val="7BC330F5"/>
    <w:lvl w:ilvl="0" w:tentative="0">
      <w:start w:val="1"/>
      <w:numFmt w:val="bullet"/>
      <w:pStyle w:val="3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C304ABD"/>
    <w:multiLevelType w:val="singleLevel"/>
    <w:tmpl w:val="7C304ABD"/>
    <w:lvl w:ilvl="0" w:tentative="0">
      <w:start w:val="1"/>
      <w:numFmt w:val="bullet"/>
      <w:lvlText w:val=""/>
      <w:lvlJc w:val="left"/>
      <w:pPr>
        <w:ind w:left="420" w:hanging="420"/>
      </w:pPr>
      <w:rPr>
        <w:rFonts w:hint="default" w:ascii="Wingdings" w:hAnsi="Wingdings"/>
      </w:rPr>
    </w:lvl>
  </w:abstractNum>
  <w:num w:numId="1">
    <w:abstractNumId w:val="5"/>
  </w:num>
  <w:num w:numId="2">
    <w:abstractNumId w:val="15"/>
  </w:num>
  <w:num w:numId="3">
    <w:abstractNumId w:val="18"/>
  </w:num>
  <w:num w:numId="4">
    <w:abstractNumId w:val="8"/>
  </w:num>
  <w:num w:numId="5">
    <w:abstractNumId w:val="16"/>
  </w:num>
  <w:num w:numId="6">
    <w:abstractNumId w:val="12"/>
  </w:num>
  <w:num w:numId="7">
    <w:abstractNumId w:val="17"/>
  </w:num>
  <w:num w:numId="8">
    <w:abstractNumId w:val="14"/>
  </w:num>
  <w:num w:numId="9">
    <w:abstractNumId w:val="2"/>
  </w:num>
  <w:num w:numId="10">
    <w:abstractNumId w:val="4"/>
  </w:num>
  <w:num w:numId="11">
    <w:abstractNumId w:val="9"/>
  </w:num>
  <w:num w:numId="12">
    <w:abstractNumId w:val="10"/>
  </w:num>
  <w:num w:numId="13">
    <w:abstractNumId w:val="0"/>
  </w:num>
  <w:num w:numId="14">
    <w:abstractNumId w:val="13"/>
  </w:num>
  <w:num w:numId="15">
    <w:abstractNumId w:val="11"/>
  </w:num>
  <w:num w:numId="16">
    <w:abstractNumId w:val="19"/>
  </w:num>
  <w:num w:numId="17">
    <w:abstractNumId w:val="3"/>
  </w:num>
  <w:num w:numId="18">
    <w:abstractNumId w:val="1"/>
  </w:num>
  <w:num w:numId="19">
    <w:abstractNumId w:val="7"/>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488"/>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6D80"/>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6DF"/>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4D5"/>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0ED"/>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5B"/>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52C"/>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47E"/>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27FB1"/>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3F1"/>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0DCD"/>
    <w:rsid w:val="0065120D"/>
    <w:rsid w:val="006515BE"/>
    <w:rsid w:val="00651A08"/>
    <w:rsid w:val="00651CA4"/>
    <w:rsid w:val="00651CF0"/>
    <w:rsid w:val="00651E7D"/>
    <w:rsid w:val="006525B7"/>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C79"/>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5"/>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62A"/>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1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591"/>
    <w:rsid w:val="00796976"/>
    <w:rsid w:val="007977B8"/>
    <w:rsid w:val="007977FC"/>
    <w:rsid w:val="00797F66"/>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ED7"/>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56"/>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C6"/>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6A"/>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0A8"/>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646"/>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D6D"/>
    <w:rsid w:val="00BC66B9"/>
    <w:rsid w:val="00BC67CB"/>
    <w:rsid w:val="00BC6A5F"/>
    <w:rsid w:val="00BC6F0C"/>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23C"/>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1E2E"/>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9C8"/>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0E68"/>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04C"/>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58B"/>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6A7"/>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7D"/>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 w:val="03B528F4"/>
    <w:rsid w:val="05F32C94"/>
    <w:rsid w:val="0A117D20"/>
    <w:rsid w:val="0B602FBE"/>
    <w:rsid w:val="0C3403DC"/>
    <w:rsid w:val="0E196328"/>
    <w:rsid w:val="0EC4383D"/>
    <w:rsid w:val="0EED2A31"/>
    <w:rsid w:val="13505A1B"/>
    <w:rsid w:val="14283870"/>
    <w:rsid w:val="147C5149"/>
    <w:rsid w:val="17F8267A"/>
    <w:rsid w:val="192E0655"/>
    <w:rsid w:val="1ADF4FC4"/>
    <w:rsid w:val="1F4B31FF"/>
    <w:rsid w:val="203E7E95"/>
    <w:rsid w:val="23602280"/>
    <w:rsid w:val="24B01D81"/>
    <w:rsid w:val="250C31CF"/>
    <w:rsid w:val="2B1B4AC5"/>
    <w:rsid w:val="2C84203A"/>
    <w:rsid w:val="2E3E13E7"/>
    <w:rsid w:val="2FEC1934"/>
    <w:rsid w:val="30C940FC"/>
    <w:rsid w:val="36CA79FC"/>
    <w:rsid w:val="3A3A1EAE"/>
    <w:rsid w:val="3C0D37FB"/>
    <w:rsid w:val="42495793"/>
    <w:rsid w:val="43B92A18"/>
    <w:rsid w:val="43FE7C84"/>
    <w:rsid w:val="45ED6C35"/>
    <w:rsid w:val="46AC0BC4"/>
    <w:rsid w:val="48163958"/>
    <w:rsid w:val="48792000"/>
    <w:rsid w:val="487B3D28"/>
    <w:rsid w:val="48B03A9C"/>
    <w:rsid w:val="55B647D4"/>
    <w:rsid w:val="568F505C"/>
    <w:rsid w:val="59544AAC"/>
    <w:rsid w:val="596318AA"/>
    <w:rsid w:val="5B8C599C"/>
    <w:rsid w:val="6407789F"/>
    <w:rsid w:val="643111CD"/>
    <w:rsid w:val="6AC8766D"/>
    <w:rsid w:val="6BD73297"/>
    <w:rsid w:val="6C941265"/>
    <w:rsid w:val="70316D71"/>
    <w:rsid w:val="70DC11F3"/>
    <w:rsid w:val="71F604BB"/>
    <w:rsid w:val="72E826E6"/>
    <w:rsid w:val="742825D8"/>
    <w:rsid w:val="745E0D6E"/>
    <w:rsid w:val="76BD1E4D"/>
    <w:rsid w:val="78847468"/>
    <w:rsid w:val="7A7A6B56"/>
    <w:rsid w:val="7DBF7E6A"/>
    <w:rsid w:val="7DCF405A"/>
    <w:rsid w:val="7DEF34B5"/>
    <w:rsid w:val="7E3D078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89"/>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link w:val="100"/>
    <w:qFormat/>
    <w:uiPriority w:val="0"/>
    <w:pPr>
      <w:keepNext/>
      <w:numPr>
        <w:ilvl w:val="2"/>
        <w:numId w:val="1"/>
      </w:numPr>
      <w:spacing w:before="120"/>
      <w:outlineLvl w:val="2"/>
    </w:pPr>
    <w:rPr>
      <w:lang w:val="en-GB"/>
    </w:rPr>
  </w:style>
  <w:style w:type="paragraph" w:styleId="5">
    <w:name w:val="heading 4"/>
    <w:basedOn w:val="1"/>
    <w:next w:val="1"/>
    <w:qFormat/>
    <w:uiPriority w:val="0"/>
    <w:pPr>
      <w:keepNext/>
      <w:numPr>
        <w:ilvl w:val="3"/>
        <w:numId w:val="1"/>
      </w:numPr>
      <w:spacing w:before="240" w:after="60"/>
      <w:outlineLvl w:val="3"/>
    </w:pPr>
    <w:rPr>
      <w:b/>
      <w:bCs/>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ind w:left="1151" w:hanging="1151"/>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ind w:left="1583" w:hanging="1583"/>
      <w:outlineLvl w:val="8"/>
    </w:pPr>
    <w:rPr>
      <w:rFonts w:ascii="Arial" w:hAnsi="Arial" w:cs="Arial"/>
    </w:rPr>
  </w:style>
  <w:style w:type="character" w:default="1" w:styleId="32">
    <w:name w:val="Default Paragraph Font"/>
    <w:unhideWhenUsed/>
    <w:qFormat/>
    <w:uiPriority w:val="1"/>
  </w:style>
  <w:style w:type="table" w:default="1" w:styleId="29">
    <w:name w:val="Normal Table"/>
    <w:unhideWhenUsed/>
    <w:qFormat/>
    <w:uiPriority w:val="99"/>
    <w:tblPr>
      <w:tblLayout w:type="fixed"/>
      <w:tblCellMar>
        <w:top w:w="0" w:type="dxa"/>
        <w:left w:w="108" w:type="dxa"/>
        <w:bottom w:w="0" w:type="dxa"/>
        <w:right w:w="108" w:type="dxa"/>
      </w:tblCellMar>
    </w:tblPr>
  </w:style>
  <w:style w:type="paragraph" w:styleId="11">
    <w:name w:val="caption"/>
    <w:basedOn w:val="1"/>
    <w:next w:val="1"/>
    <w:link w:val="88"/>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0"/>
    <w:pPr>
      <w:ind w:left="360" w:hanging="360"/>
    </w:pPr>
  </w:style>
  <w:style w:type="paragraph" w:styleId="14">
    <w:name w:val="Document Map"/>
    <w:basedOn w:val="1"/>
    <w:link w:val="94"/>
    <w:qFormat/>
    <w:uiPriority w:val="0"/>
    <w:rPr>
      <w:rFonts w:ascii="宋体"/>
      <w:sz w:val="18"/>
      <w:szCs w:val="18"/>
    </w:rPr>
  </w:style>
  <w:style w:type="paragraph" w:styleId="15">
    <w:name w:val="annotation text"/>
    <w:basedOn w:val="1"/>
    <w:link w:val="74"/>
    <w:qFormat/>
    <w:uiPriority w:val="0"/>
    <w:rPr>
      <w:sz w:val="20"/>
      <w:szCs w:val="20"/>
    </w:rPr>
  </w:style>
  <w:style w:type="paragraph" w:styleId="16">
    <w:name w:val="Body Text"/>
    <w:basedOn w:val="1"/>
    <w:link w:val="101"/>
    <w:qFormat/>
    <w:uiPriority w:val="0"/>
    <w:rPr>
      <w:sz w:val="20"/>
      <w:szCs w:val="20"/>
    </w:rPr>
  </w:style>
  <w:style w:type="paragraph" w:styleId="17">
    <w:name w:val="Body Text Indent"/>
    <w:basedOn w:val="1"/>
    <w:link w:val="72"/>
    <w:qFormat/>
    <w:uiPriority w:val="0"/>
    <w:pPr>
      <w:ind w:left="420" w:leftChars="200"/>
    </w:pPr>
  </w:style>
  <w:style w:type="paragraph" w:styleId="18">
    <w:name w:val="List 2"/>
    <w:basedOn w:val="13"/>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85"/>
    <w:qFormat/>
    <w:uiPriority w:val="0"/>
    <w:pPr>
      <w:tabs>
        <w:tab w:val="center" w:pos="4680"/>
        <w:tab w:val="right" w:pos="9360"/>
      </w:tabs>
    </w:pPr>
  </w:style>
  <w:style w:type="paragraph" w:styleId="22">
    <w:name w:val="header"/>
    <w:basedOn w:val="1"/>
    <w:link w:val="98"/>
    <w:qFormat/>
    <w:uiPriority w:val="0"/>
    <w:pPr>
      <w:tabs>
        <w:tab w:val="center" w:pos="4680"/>
        <w:tab w:val="right" w:pos="9360"/>
      </w:tabs>
    </w:pPr>
  </w:style>
  <w:style w:type="paragraph" w:styleId="23">
    <w:name w:val="toc 4"/>
    <w:basedOn w:val="19"/>
    <w:next w:val="1"/>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73"/>
    <w:qFormat/>
    <w:uiPriority w:val="0"/>
    <w:rPr>
      <w:b/>
      <w:bCs/>
    </w:rPr>
  </w:style>
  <w:style w:type="paragraph" w:styleId="28">
    <w:name w:val="Body Text First Indent 2"/>
    <w:basedOn w:val="17"/>
    <w:link w:val="97"/>
    <w:qFormat/>
    <w:uiPriority w:val="0"/>
    <w:pPr>
      <w:ind w:firstLine="420" w:firstLineChars="200"/>
    </w:p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top w:val="nil"/>
          <w:left w:val="nil"/>
          <w:bottom w:val="single" w:color="000000" w:sz="6" w:space="0"/>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character" w:styleId="33">
    <w:name w:val="Strong"/>
    <w:basedOn w:val="32"/>
    <w:qFormat/>
    <w:uiPriority w:val="0"/>
    <w:rPr>
      <w:b/>
      <w:bCs/>
    </w:rPr>
  </w:style>
  <w:style w:type="character" w:styleId="34">
    <w:name w:val="FollowedHyperlink"/>
    <w:basedOn w:val="32"/>
    <w:qFormat/>
    <w:uiPriority w:val="0"/>
    <w:rPr>
      <w:color w:val="800080"/>
      <w:u w:val="single"/>
    </w:rPr>
  </w:style>
  <w:style w:type="character" w:styleId="35">
    <w:name w:val="Hyperlink"/>
    <w:basedOn w:val="32"/>
    <w:qFormat/>
    <w:uiPriority w:val="99"/>
    <w:rPr>
      <w:color w:val="0000FF"/>
      <w:u w:val="single"/>
    </w:rPr>
  </w:style>
  <w:style w:type="character" w:styleId="36">
    <w:name w:val="annotation reference"/>
    <w:basedOn w:val="32"/>
    <w:qFormat/>
    <w:uiPriority w:val="0"/>
    <w:rPr>
      <w:sz w:val="16"/>
      <w:szCs w:val="16"/>
    </w:rPr>
  </w:style>
  <w:style w:type="character" w:styleId="37">
    <w:name w:val="footnote reference"/>
    <w:basedOn w:val="32"/>
    <w:semiHidden/>
    <w:qFormat/>
    <w:uiPriority w:val="0"/>
    <w:rPr>
      <w:vertAlign w:val="superscript"/>
    </w:rPr>
  </w:style>
  <w:style w:type="paragraph" w:customStyle="1" w:styleId="38">
    <w:name w:val="样式 段前: 6 磅 底端: (单实线 自动设置  1.5 磅 行宽)"/>
    <w:basedOn w:val="1"/>
    <w:qFormat/>
    <w:uiPriority w:val="0"/>
    <w:pPr>
      <w:spacing w:before="120"/>
    </w:pPr>
    <w:rPr>
      <w:rFonts w:cs="宋体"/>
      <w:szCs w:val="20"/>
    </w:rPr>
  </w:style>
  <w:style w:type="paragraph" w:customStyle="1" w:styleId="39">
    <w:name w:val="Ch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0">
    <w:name w:val="CR Cover Page"/>
    <w:qFormat/>
    <w:uiPriority w:val="0"/>
    <w:pPr>
      <w:spacing w:after="120"/>
    </w:pPr>
    <w:rPr>
      <w:rFonts w:ascii="Arial" w:hAnsi="Arial" w:eastAsia="Times New Roman" w:cs="Times New Roman"/>
      <w:lang w:val="en-GB" w:eastAsia="en-US" w:bidi="ar-SA"/>
    </w:rPr>
  </w:style>
  <w:style w:type="paragraph" w:customStyle="1" w:styleId="41">
    <w:name w:val="EX"/>
    <w:basedOn w:val="1"/>
    <w:qFormat/>
    <w:uiPriority w:val="0"/>
    <w:pPr>
      <w:keepLines/>
      <w:autoSpaceDE/>
      <w:autoSpaceDN/>
      <w:adjustRightInd/>
      <w:spacing w:after="180"/>
      <w:ind w:left="1702" w:hanging="1418"/>
      <w:jc w:val="left"/>
    </w:pPr>
    <w:rPr>
      <w:sz w:val="20"/>
      <w:szCs w:val="20"/>
    </w:rPr>
  </w:style>
  <w:style w:type="paragraph" w:customStyle="1" w:styleId="42">
    <w:name w:val="LGTdoc_본문"/>
    <w:basedOn w:val="1"/>
    <w:qFormat/>
    <w:uiPriority w:val="0"/>
    <w:pPr>
      <w:widowControl w:val="0"/>
      <w:autoSpaceDE/>
      <w:autoSpaceDN/>
      <w:adjustRightInd/>
      <w:spacing w:after="0" w:line="264" w:lineRule="auto"/>
    </w:pPr>
    <w:rPr>
      <w:rFonts w:ascii="Calibri" w:hAnsi="Calibri" w:eastAsia="Batang" w:cs="Arial"/>
      <w:kern w:val="2"/>
      <w:szCs w:val="24"/>
      <w:lang w:eastAsia="ko-KR"/>
    </w:rPr>
  </w:style>
  <w:style w:type="paragraph" w:customStyle="1" w:styleId="43">
    <w:name w:val="References"/>
    <w:basedOn w:val="1"/>
    <w:qFormat/>
    <w:uiPriority w:val="0"/>
    <w:pPr>
      <w:numPr>
        <w:ilvl w:val="0"/>
        <w:numId w:val="4"/>
      </w:numPr>
      <w:adjustRightInd/>
      <w:spacing w:after="60"/>
      <w:jc w:val="left"/>
    </w:pPr>
    <w:rPr>
      <w:sz w:val="20"/>
      <w:szCs w:val="16"/>
    </w:rPr>
  </w:style>
  <w:style w:type="paragraph" w:customStyle="1" w:styleId="44">
    <w:name w:val="3GPP Normal Text"/>
    <w:basedOn w:val="16"/>
    <w:qFormat/>
    <w:uiPriority w:val="0"/>
    <w:pPr>
      <w:overflowPunct/>
      <w:autoSpaceDE/>
      <w:autoSpaceDN/>
      <w:adjustRightInd/>
      <w:textAlignment w:val="auto"/>
    </w:pPr>
    <w:rPr>
      <w:rFonts w:ascii="Times New Roman" w:hAnsi="Times New Roman" w:eastAsia="MS Mincho"/>
      <w:sz w:val="22"/>
    </w:rPr>
  </w:style>
  <w:style w:type="paragraph" w:customStyle="1" w:styleId="45">
    <w:name w:val="reference"/>
    <w:basedOn w:val="1"/>
    <w:qFormat/>
    <w:uiPriority w:val="0"/>
    <w:pPr>
      <w:widowControl w:val="0"/>
      <w:numPr>
        <w:ilvl w:val="0"/>
        <w:numId w:val="5"/>
      </w:numPr>
      <w:snapToGrid/>
      <w:spacing w:after="60"/>
      <w:jc w:val="left"/>
    </w:pPr>
    <w:rPr>
      <w:rFonts w:eastAsia="Times New Roman"/>
      <w:szCs w:val="20"/>
      <w:lang w:val="en-GB"/>
    </w:rPr>
  </w:style>
  <w:style w:type="paragraph" w:customStyle="1" w:styleId="46">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
    <w:name w:val="TF"/>
    <w:basedOn w:val="48"/>
    <w:link w:val="84"/>
    <w:qFormat/>
    <w:uiPriority w:val="0"/>
    <w:pPr>
      <w:keepNext w:val="0"/>
      <w:overflowPunct w:val="0"/>
      <w:autoSpaceDE w:val="0"/>
      <w:autoSpaceDN w:val="0"/>
      <w:adjustRightInd w:val="0"/>
      <w:spacing w:before="0" w:after="240"/>
      <w:textAlignment w:val="baseline"/>
    </w:pPr>
    <w:rPr>
      <w:rFonts w:eastAsia="宋体"/>
      <w:lang w:val="zh-CN" w:eastAsia="zh-CN"/>
    </w:rPr>
  </w:style>
  <w:style w:type="paragraph" w:customStyle="1" w:styleId="48">
    <w:name w:val="TH"/>
    <w:basedOn w:val="1"/>
    <w:link w:val="93"/>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49">
    <w:name w:val="TAL"/>
    <w:basedOn w:val="1"/>
    <w:qFormat/>
    <w:uiPriority w:val="0"/>
    <w:pPr>
      <w:keepNext/>
      <w:keepLines/>
      <w:spacing w:after="0"/>
    </w:pPr>
    <w:rPr>
      <w:rFonts w:ascii="Arial" w:hAnsi="Arial"/>
      <w:sz w:val="18"/>
      <w:lang w:eastAsia="zh-CN"/>
    </w:rPr>
  </w:style>
  <w:style w:type="paragraph" w:customStyle="1" w:styleId="50">
    <w:name w:val="TAH"/>
    <w:basedOn w:val="51"/>
    <w:link w:val="95"/>
    <w:qFormat/>
    <w:uiPriority w:val="0"/>
    <w:pPr>
      <w:overflowPunct/>
      <w:autoSpaceDE/>
      <w:autoSpaceDN/>
      <w:adjustRightInd/>
      <w:textAlignment w:val="auto"/>
    </w:pPr>
    <w:rPr>
      <w:rFonts w:eastAsia="Malgun Gothic"/>
      <w:b/>
      <w:color w:val="000000"/>
    </w:rPr>
  </w:style>
  <w:style w:type="paragraph" w:customStyle="1" w:styleId="51">
    <w:name w:val="TAC"/>
    <w:basedOn w:val="49"/>
    <w:link w:val="96"/>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paragraph" w:customStyle="1" w:styleId="52">
    <w:name w:val="B1"/>
    <w:basedOn w:val="13"/>
    <w:link w:val="87"/>
    <w:qFormat/>
    <w:uiPriority w:val="0"/>
    <w:pPr>
      <w:autoSpaceDE/>
      <w:autoSpaceDN/>
      <w:adjustRightInd/>
      <w:snapToGrid/>
      <w:spacing w:after="180"/>
      <w:ind w:left="568" w:hanging="284"/>
      <w:jc w:val="left"/>
    </w:pPr>
    <w:rPr>
      <w:sz w:val="20"/>
      <w:szCs w:val="20"/>
      <w:lang w:val="en-GB"/>
    </w:rPr>
  </w:style>
  <w:style w:type="paragraph" w:customStyle="1" w:styleId="53">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rPr>
  </w:style>
  <w:style w:type="paragraph" w:customStyle="1" w:styleId="5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5">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56">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paragraph" w:customStyle="1" w:styleId="57">
    <w:name w:val="b110"/>
    <w:basedOn w:val="1"/>
    <w:qFormat/>
    <w:uiPriority w:val="0"/>
    <w:pPr>
      <w:autoSpaceDE/>
      <w:autoSpaceDN/>
      <w:adjustRightInd/>
      <w:snapToGrid/>
      <w:spacing w:before="75" w:after="75"/>
      <w:jc w:val="left"/>
    </w:pPr>
    <w:rPr>
      <w:rFonts w:eastAsia="Times New Roman"/>
      <w:sz w:val="24"/>
      <w:szCs w:val="24"/>
      <w:lang w:eastAsia="zh-CN"/>
    </w:rPr>
  </w:style>
  <w:style w:type="paragraph" w:customStyle="1" w:styleId="5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60">
    <w:name w:val="B2"/>
    <w:basedOn w:val="18"/>
    <w:qFormat/>
    <w:uiPriority w:val="99"/>
    <w:pPr>
      <w:numPr>
        <w:ilvl w:val="0"/>
        <w:numId w:val="0"/>
      </w:numPr>
      <w:spacing w:before="0" w:after="180"/>
      <w:ind w:left="851" w:hanging="284"/>
    </w:pPr>
    <w:rPr>
      <w:rFonts w:ascii="Times New Roman" w:hAnsi="Times New Roman" w:eastAsia="宋体"/>
      <w:sz w:val="20"/>
      <w:lang w:val="en-GB"/>
    </w:rPr>
  </w:style>
  <w:style w:type="paragraph" w:styleId="61">
    <w:name w:val="List Paragraph"/>
    <w:basedOn w:val="1"/>
    <w:link w:val="86"/>
    <w:qFormat/>
    <w:uiPriority w:val="34"/>
    <w:pPr>
      <w:ind w:firstLine="420" w:firstLineChars="200"/>
    </w:pPr>
  </w:style>
  <w:style w:type="paragraph" w:customStyle="1" w:styleId="62">
    <w:name w:val="body"/>
    <w:basedOn w:val="1"/>
    <w:link w:val="99"/>
    <w:qFormat/>
    <w:uiPriority w:val="0"/>
    <w:pPr>
      <w:autoSpaceDE/>
      <w:autoSpaceDN/>
      <w:spacing w:before="120" w:after="220"/>
    </w:pPr>
    <w:rPr>
      <w:rFonts w:eastAsia="Batang"/>
      <w:snapToGrid w:val="0"/>
      <w:sz w:val="20"/>
      <w:szCs w:val="20"/>
      <w:lang w:val="en-GB" w:eastAsia="ko-KR"/>
    </w:rPr>
  </w:style>
  <w:style w:type="paragraph" w:customStyle="1" w:styleId="63">
    <w:name w:val="???????¡ì??????????¡ì??????????¡§?????????¡ì???????¡ì?????????¡ì???o??????????¡§?????????¡ì???????¡ì???"/>
    <w:basedOn w:val="1"/>
    <w:qFormat/>
    <w:uiPriority w:val="0"/>
    <w:pPr>
      <w:overflowPunct w:val="0"/>
      <w:snapToGrid/>
      <w:spacing w:after="0"/>
      <w:jc w:val="left"/>
      <w:textAlignment w:val="baseline"/>
    </w:pPr>
    <w:rPr>
      <w:rFonts w:eastAsia="宋体"/>
      <w:sz w:val="24"/>
      <w:szCs w:val="20"/>
      <w:lang w:eastAsia="zh-CN"/>
    </w:rPr>
  </w:style>
  <w:style w:type="paragraph" w:customStyle="1" w:styleId="64">
    <w:name w:val="tablecell"/>
    <w:basedOn w:val="1"/>
    <w:qFormat/>
    <w:uiPriority w:val="0"/>
    <w:pPr>
      <w:spacing w:before="40" w:after="40"/>
      <w:jc w:val="left"/>
    </w:pPr>
    <w:rPr>
      <w:rFonts w:hAnsi="Arial" w:cs="Arial"/>
      <w:sz w:val="20"/>
      <w:szCs w:val="20"/>
      <w:lang w:eastAsia="ja-JP"/>
    </w:rPr>
  </w:style>
  <w:style w:type="paragraph" w:customStyle="1" w:styleId="65">
    <w:name w:val="MTDisplayEquation"/>
    <w:basedOn w:val="1"/>
    <w:next w:val="1"/>
    <w:link w:val="81"/>
    <w:qFormat/>
    <w:uiPriority w:val="0"/>
    <w:pPr>
      <w:pBdr>
        <w:bottom w:val="single" w:color="auto" w:sz="12" w:space="1"/>
      </w:pBdr>
      <w:tabs>
        <w:tab w:val="center" w:pos="4660"/>
        <w:tab w:val="right" w:pos="9320"/>
      </w:tabs>
    </w:pPr>
    <w:rPr>
      <w:lang w:eastAsia="zh-CN"/>
    </w:rPr>
  </w:style>
  <w:style w:type="paragraph" w:customStyle="1" w:styleId="6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7">
    <w:name w:val="Guidance"/>
    <w:basedOn w:val="1"/>
    <w:link w:val="82"/>
    <w:qFormat/>
    <w:uiPriority w:val="0"/>
    <w:pPr>
      <w:autoSpaceDE/>
      <w:autoSpaceDN/>
      <w:adjustRightInd/>
      <w:snapToGrid/>
      <w:spacing w:after="180"/>
      <w:jc w:val="left"/>
    </w:pPr>
    <w:rPr>
      <w:i/>
      <w:color w:val="0000FF"/>
      <w:sz w:val="20"/>
      <w:szCs w:val="20"/>
      <w:lang w:val="en-GB"/>
    </w:rPr>
  </w:style>
  <w:style w:type="paragraph" w:customStyle="1" w:styleId="68">
    <w:name w:val="RAN1 bullet3"/>
    <w:basedOn w:val="1"/>
    <w:qFormat/>
    <w:uiPriority w:val="0"/>
    <w:pPr>
      <w:numPr>
        <w:ilvl w:val="2"/>
        <w:numId w:val="7"/>
      </w:numPr>
      <w:tabs>
        <w:tab w:val="left" w:pos="1440"/>
      </w:tabs>
      <w:autoSpaceDE/>
      <w:autoSpaceDN/>
      <w:adjustRightInd/>
      <w:snapToGrid/>
      <w:spacing w:after="0"/>
      <w:jc w:val="left"/>
    </w:pPr>
    <w:rPr>
      <w:rFonts w:ascii="Times" w:hAnsi="Times" w:eastAsia="Batang"/>
      <w:sz w:val="20"/>
      <w:szCs w:val="20"/>
    </w:rPr>
  </w:style>
  <w:style w:type="paragraph" w:customStyle="1" w:styleId="69">
    <w:name w:val="Revision"/>
    <w:semiHidden/>
    <w:qFormat/>
    <w:uiPriority w:val="99"/>
    <w:rPr>
      <w:rFonts w:ascii="Times New Roman" w:hAnsi="Times New Roman" w:eastAsia="宋体" w:cs="Times New Roman"/>
      <w:sz w:val="22"/>
      <w:szCs w:val="22"/>
      <w:lang w:val="en-US" w:eastAsia="en-US" w:bidi="ar-SA"/>
    </w:rPr>
  </w:style>
  <w:style w:type="paragraph" w:customStyle="1" w:styleId="70">
    <w:name w:val="样式 段前: 6 磅 底端: (单实线 自动设置  1.5 磅 行宽)2"/>
    <w:basedOn w:val="1"/>
    <w:qFormat/>
    <w:uiPriority w:val="0"/>
    <w:pPr>
      <w:spacing w:before="120"/>
    </w:pPr>
    <w:rPr>
      <w:rFonts w:cs="宋体"/>
      <w:szCs w:val="20"/>
    </w:rPr>
  </w:style>
  <w:style w:type="paragraph" w:customStyle="1" w:styleId="71">
    <w:name w:val="样式 段前: 6 磅 底端: (单实线 自动设置  1.5 磅 行宽)1"/>
    <w:basedOn w:val="1"/>
    <w:qFormat/>
    <w:uiPriority w:val="0"/>
    <w:pPr>
      <w:spacing w:before="120"/>
    </w:pPr>
    <w:rPr>
      <w:rFonts w:cs="宋体"/>
      <w:szCs w:val="20"/>
    </w:rPr>
  </w:style>
  <w:style w:type="character" w:customStyle="1" w:styleId="72">
    <w:name w:val="正文文本缩进 字符"/>
    <w:basedOn w:val="32"/>
    <w:link w:val="17"/>
    <w:qFormat/>
    <w:uiPriority w:val="0"/>
    <w:rPr>
      <w:sz w:val="22"/>
      <w:szCs w:val="22"/>
      <w:lang w:eastAsia="en-US"/>
    </w:rPr>
  </w:style>
  <w:style w:type="character" w:customStyle="1" w:styleId="73">
    <w:name w:val="批注主题 字符"/>
    <w:basedOn w:val="74"/>
    <w:link w:val="27"/>
    <w:qFormat/>
    <w:uiPriority w:val="0"/>
    <w:rPr>
      <w:b/>
      <w:bCs/>
      <w:lang w:eastAsia="en-US"/>
    </w:rPr>
  </w:style>
  <w:style w:type="character" w:customStyle="1" w:styleId="74">
    <w:name w:val="批注文字 字符"/>
    <w:basedOn w:val="32"/>
    <w:link w:val="15"/>
    <w:qFormat/>
    <w:uiPriority w:val="0"/>
    <w:rPr>
      <w:lang w:eastAsia="en-US"/>
    </w:rPr>
  </w:style>
  <w:style w:type="character" w:customStyle="1" w:styleId="75">
    <w:name w:val="huawei"/>
    <w:basedOn w:val="32"/>
    <w:qFormat/>
    <w:uiPriority w:val="0"/>
  </w:style>
  <w:style w:type="character" w:customStyle="1" w:styleId="76">
    <w:name w:val="apple-converted-space"/>
    <w:basedOn w:val="32"/>
    <w:qFormat/>
    <w:uiPriority w:val="0"/>
  </w:style>
  <w:style w:type="character" w:customStyle="1" w:styleId="77">
    <w:name w:val="fontstyle01"/>
    <w:basedOn w:val="32"/>
    <w:qFormat/>
    <w:uiPriority w:val="0"/>
    <w:rPr>
      <w:rFonts w:ascii="Times-Roman" w:hAnsi="Times-Roman" w:eastAsia="Times-Roman" w:cs="Times-Roman"/>
      <w:color w:val="000000"/>
      <w:sz w:val="20"/>
      <w:szCs w:val="20"/>
    </w:rPr>
  </w:style>
  <w:style w:type="character" w:customStyle="1" w:styleId="78">
    <w:name w:val="B1 Char1"/>
    <w:qFormat/>
    <w:uiPriority w:val="0"/>
    <w:rPr>
      <w:lang w:val="en-GB" w:eastAsia="en-US"/>
    </w:rPr>
  </w:style>
  <w:style w:type="character" w:customStyle="1" w:styleId="79">
    <w:name w:val="B1 Char"/>
    <w:qFormat/>
    <w:uiPriority w:val="0"/>
    <w:rPr>
      <w:lang w:val="en-GB"/>
    </w:rPr>
  </w:style>
  <w:style w:type="character" w:customStyle="1" w:styleId="80">
    <w:name w:val="MTEquationSection"/>
    <w:basedOn w:val="32"/>
    <w:qFormat/>
    <w:uiPriority w:val="0"/>
    <w:rPr>
      <w:b/>
      <w:vanish/>
      <w:color w:val="FF0000"/>
      <w:lang w:eastAsia="zh-CN"/>
    </w:rPr>
  </w:style>
  <w:style w:type="character" w:customStyle="1" w:styleId="81">
    <w:name w:val="MTDisplayEquation Char"/>
    <w:basedOn w:val="32"/>
    <w:link w:val="65"/>
    <w:qFormat/>
    <w:uiPriority w:val="0"/>
    <w:rPr>
      <w:sz w:val="22"/>
      <w:szCs w:val="22"/>
    </w:rPr>
  </w:style>
  <w:style w:type="character" w:customStyle="1" w:styleId="82">
    <w:name w:val="Guidance Char"/>
    <w:basedOn w:val="32"/>
    <w:link w:val="67"/>
    <w:qFormat/>
    <w:uiPriority w:val="0"/>
    <w:rPr>
      <w:i/>
      <w:color w:val="0000FF"/>
      <w:lang w:val="en-GB" w:eastAsia="en-US"/>
    </w:rPr>
  </w:style>
  <w:style w:type="character" w:styleId="83">
    <w:name w:val="Placeholder Text"/>
    <w:basedOn w:val="32"/>
    <w:semiHidden/>
    <w:qFormat/>
    <w:uiPriority w:val="99"/>
    <w:rPr>
      <w:color w:val="808080"/>
    </w:rPr>
  </w:style>
  <w:style w:type="character" w:customStyle="1" w:styleId="84">
    <w:name w:val="TF Char"/>
    <w:link w:val="47"/>
    <w:qFormat/>
    <w:uiPriority w:val="0"/>
    <w:rPr>
      <w:rFonts w:ascii="Arial" w:hAnsi="Arial"/>
      <w:b/>
      <w:lang w:val="zh-CN" w:eastAsia="zh-CN"/>
    </w:rPr>
  </w:style>
  <w:style w:type="character" w:customStyle="1" w:styleId="85">
    <w:name w:val="页脚 字符"/>
    <w:basedOn w:val="32"/>
    <w:link w:val="21"/>
    <w:qFormat/>
    <w:uiPriority w:val="0"/>
    <w:rPr>
      <w:sz w:val="22"/>
      <w:szCs w:val="22"/>
    </w:rPr>
  </w:style>
  <w:style w:type="character" w:customStyle="1" w:styleId="86">
    <w:name w:val="列出段落 字符"/>
    <w:link w:val="61"/>
    <w:qFormat/>
    <w:locked/>
    <w:uiPriority w:val="34"/>
    <w:rPr>
      <w:sz w:val="22"/>
      <w:szCs w:val="22"/>
      <w:lang w:eastAsia="en-US"/>
    </w:rPr>
  </w:style>
  <w:style w:type="character" w:customStyle="1" w:styleId="87">
    <w:name w:val="B1 (文字)"/>
    <w:link w:val="52"/>
    <w:qFormat/>
    <w:locked/>
    <w:uiPriority w:val="0"/>
    <w:rPr>
      <w:lang w:val="en-GB" w:eastAsia="en-US"/>
    </w:rPr>
  </w:style>
  <w:style w:type="character" w:customStyle="1" w:styleId="88">
    <w:name w:val="题注 字符"/>
    <w:basedOn w:val="32"/>
    <w:link w:val="11"/>
    <w:qFormat/>
    <w:uiPriority w:val="0"/>
    <w:rPr>
      <w:b/>
      <w:bCs/>
    </w:rPr>
  </w:style>
  <w:style w:type="character" w:customStyle="1" w:styleId="89">
    <w:name w:val="标题 1 字符"/>
    <w:basedOn w:val="32"/>
    <w:link w:val="2"/>
    <w:qFormat/>
    <w:uiPriority w:val="0"/>
    <w:rPr>
      <w:b/>
      <w:bCs/>
      <w:sz w:val="28"/>
      <w:szCs w:val="28"/>
      <w:lang w:eastAsia="en-US"/>
    </w:rPr>
  </w:style>
  <w:style w:type="character" w:customStyle="1" w:styleId="90">
    <w:name w:val="B1 Zchn"/>
    <w:qFormat/>
    <w:uiPriority w:val="0"/>
    <w:rPr>
      <w:lang w:eastAsia="en-US"/>
    </w:rPr>
  </w:style>
  <w:style w:type="character" w:customStyle="1" w:styleId="91">
    <w:name w:val="fontstyle21"/>
    <w:basedOn w:val="32"/>
    <w:qFormat/>
    <w:uiPriority w:val="0"/>
    <w:rPr>
      <w:rFonts w:ascii="Times-Italic" w:hAnsi="Times-Italic" w:eastAsia="Times-Italic" w:cs="Times-Italic"/>
      <w:i/>
      <w:color w:val="000000"/>
      <w:sz w:val="20"/>
      <w:szCs w:val="20"/>
    </w:rPr>
  </w:style>
  <w:style w:type="character" w:customStyle="1" w:styleId="92">
    <w:name w:val="word"/>
    <w:basedOn w:val="32"/>
    <w:qFormat/>
    <w:uiPriority w:val="0"/>
  </w:style>
  <w:style w:type="character" w:customStyle="1" w:styleId="93">
    <w:name w:val="TH Char"/>
    <w:link w:val="48"/>
    <w:qFormat/>
    <w:uiPriority w:val="0"/>
    <w:rPr>
      <w:rFonts w:ascii="Arial" w:hAnsi="Arial" w:eastAsia="Times New Roman"/>
      <w:b/>
      <w:lang w:val="en-GB" w:eastAsia="en-US"/>
    </w:rPr>
  </w:style>
  <w:style w:type="character" w:customStyle="1" w:styleId="94">
    <w:name w:val="文档结构图 字符"/>
    <w:basedOn w:val="32"/>
    <w:link w:val="14"/>
    <w:qFormat/>
    <w:uiPriority w:val="0"/>
    <w:rPr>
      <w:rFonts w:ascii="宋体"/>
      <w:sz w:val="18"/>
      <w:szCs w:val="18"/>
      <w:lang w:eastAsia="en-US"/>
    </w:rPr>
  </w:style>
  <w:style w:type="character" w:customStyle="1" w:styleId="95">
    <w:name w:val="TAH Car"/>
    <w:link w:val="50"/>
    <w:qFormat/>
    <w:uiPriority w:val="0"/>
    <w:rPr>
      <w:rFonts w:ascii="Arial" w:hAnsi="Arial" w:eastAsia="Malgun Gothic"/>
      <w:b/>
      <w:color w:val="000000"/>
      <w:sz w:val="18"/>
      <w:lang w:val="en-GB" w:eastAsia="ja-JP"/>
    </w:rPr>
  </w:style>
  <w:style w:type="character" w:customStyle="1" w:styleId="96">
    <w:name w:val="TAC Char"/>
    <w:basedOn w:val="32"/>
    <w:link w:val="51"/>
    <w:qFormat/>
    <w:uiPriority w:val="0"/>
    <w:rPr>
      <w:rFonts w:ascii="Arial" w:hAnsi="Arial" w:eastAsia="Times New Roman"/>
      <w:sz w:val="18"/>
      <w:lang w:val="en-GB" w:eastAsia="ja-JP"/>
    </w:rPr>
  </w:style>
  <w:style w:type="character" w:customStyle="1" w:styleId="97">
    <w:name w:val="正文首行缩进 2 字符"/>
    <w:basedOn w:val="72"/>
    <w:link w:val="28"/>
    <w:qFormat/>
    <w:uiPriority w:val="0"/>
    <w:rPr>
      <w:sz w:val="22"/>
      <w:szCs w:val="22"/>
      <w:lang w:eastAsia="en-US"/>
    </w:rPr>
  </w:style>
  <w:style w:type="character" w:customStyle="1" w:styleId="98">
    <w:name w:val="页眉 字符"/>
    <w:basedOn w:val="32"/>
    <w:link w:val="22"/>
    <w:qFormat/>
    <w:uiPriority w:val="0"/>
    <w:rPr>
      <w:sz w:val="22"/>
      <w:szCs w:val="22"/>
    </w:rPr>
  </w:style>
  <w:style w:type="character" w:customStyle="1" w:styleId="99">
    <w:name w:val="body Char"/>
    <w:basedOn w:val="32"/>
    <w:link w:val="62"/>
    <w:qFormat/>
    <w:uiPriority w:val="0"/>
    <w:rPr>
      <w:rFonts w:eastAsia="Batang"/>
      <w:snapToGrid w:val="0"/>
      <w:lang w:val="en-GB" w:eastAsia="ko-KR"/>
    </w:rPr>
  </w:style>
  <w:style w:type="character" w:customStyle="1" w:styleId="100">
    <w:name w:val="标题 3 字符"/>
    <w:basedOn w:val="32"/>
    <w:link w:val="4"/>
    <w:qFormat/>
    <w:uiPriority w:val="0"/>
    <w:rPr>
      <w:b/>
      <w:sz w:val="22"/>
      <w:szCs w:val="22"/>
      <w:lang w:val="en-GB" w:eastAsia="en-US"/>
    </w:rPr>
  </w:style>
  <w:style w:type="character" w:customStyle="1" w:styleId="101">
    <w:name w:val="正文文本 字符"/>
    <w:basedOn w:val="32"/>
    <w:link w:val="16"/>
    <w:qFormat/>
    <w:uiPriority w:val="0"/>
    <w:rPr>
      <w:lang w:eastAsia="en-US"/>
    </w:rPr>
  </w:style>
  <w:style w:type="table" w:customStyle="1" w:styleId="102">
    <w:name w:val="网格型1"/>
    <w:basedOn w:val="29"/>
    <w:qFormat/>
    <w:uiPriority w:val="0"/>
    <w:rPr>
      <w:rFonts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table" w:customStyle="1" w:styleId="103">
    <w:name w:val="List Table 6 Colorful"/>
    <w:basedOn w:val="29"/>
    <w:qFormat/>
    <w:uiPriority w:val="51"/>
    <w:rPr>
      <w:color w:val="000000"/>
    </w:rPr>
    <w:tblPr>
      <w:tblBorders>
        <w:top w:val="single" w:color="000000" w:sz="4" w:space="0"/>
        <w:bottom w:val="single" w:color="000000" w:sz="4" w:space="0"/>
      </w:tblBorders>
      <w:tblLayout w:type="fixed"/>
    </w:tblPr>
    <w:tblStylePr w:type="firstRow">
      <w:rPr>
        <w:b/>
        <w:bCs/>
      </w:rPr>
      <w:tblPr>
        <w:tblLayout w:type="fixed"/>
      </w:tblPr>
      <w:tcPr>
        <w:tcBorders>
          <w:top w:val="nil"/>
          <w:left w:val="nil"/>
          <w:bottom w:val="single" w:color="000000" w:sz="4" w:space="0"/>
          <w:right w:val="nil"/>
          <w:insideH w:val="nil"/>
          <w:insideV w:val="nil"/>
          <w:tl2br w:val="nil"/>
          <w:tr2bl w:val="nil"/>
        </w:tcBorders>
      </w:tcPr>
    </w:tblStylePr>
    <w:tblStylePr w:type="lastRow">
      <w:rPr>
        <w:b/>
        <w:bCs/>
      </w:rPr>
      <w:tblPr>
        <w:tblLayout w:type="fixed"/>
      </w:tblPr>
      <w:tcPr>
        <w:tcBorders>
          <w:top w:val="double" w:color="000000" w:sz="4" w:space="0"/>
          <w:left w:val="nil"/>
          <w:bottom w:val="nil"/>
          <w:right w:val="nil"/>
          <w:insideH w:val="nil"/>
          <w:insideV w:val="nil"/>
          <w:tl2br w:val="nil"/>
          <w:tr2bl w:val="nil"/>
        </w:tcBorders>
      </w:tcPr>
    </w:tblStylePr>
    <w:tblStylePr w:type="firstCol">
      <w:rPr>
        <w:b/>
        <w:bCs/>
      </w:rPr>
      <w:tblPr>
        <w:tblLayout w:type="fixed"/>
      </w:tblPr>
    </w:tblStylePr>
    <w:tblStylePr w:type="lastCol">
      <w:rPr>
        <w:b/>
        <w:bCs/>
      </w:rPr>
      <w:tblPr>
        <w:tblLayout w:type="fixed"/>
      </w:tblPr>
    </w:tblStylePr>
    <w:tblStylePr w:type="band1Vert">
      <w:tblPr>
        <w:tblLayout w:type="fixed"/>
      </w:tblPr>
      <w:tcPr>
        <w:shd w:val="clear" w:color="auto" w:fill="CCCCCC"/>
      </w:tcPr>
    </w:tblStylePr>
    <w:tblStylePr w:type="band1Horz">
      <w:tblPr>
        <w:tblLayout w:type="fixed"/>
      </w:tblPr>
      <w:tcPr>
        <w:shd w:val="clear" w:color="auto" w:fill="CCCCCC"/>
      </w:tcPr>
    </w:tblStylePr>
  </w:style>
  <w:style w:type="paragraph" w:customStyle="1" w:styleId="104">
    <w:name w:val="0 Main text"/>
    <w:basedOn w:val="1"/>
    <w:qFormat/>
    <w:uiPriority w:val="0"/>
    <w:pPr>
      <w:spacing w:after="100" w:afterAutospacing="1" w:line="288" w:lineRule="auto"/>
      <w:ind w:firstLine="360"/>
      <w:jc w:val="both"/>
    </w:pPr>
    <w:rPr>
      <w:rFonts w:ascii="Times New Roman" w:hAnsi="Times New Roman" w:eastAsia="Malgun Gothic" w:cs="바탕"/>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Transsion Holdings</Company>
  <Pages>6</Pages>
  <Words>2445</Words>
  <Characters>12802</Characters>
  <Lines>65</Lines>
  <Paragraphs>18</Paragraphs>
  <TotalTime>4</TotalTime>
  <ScaleCrop>false</ScaleCrop>
  <LinksUpToDate>false</LinksUpToDate>
  <CharactersWithSpaces>16066</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2021-08-05T10:05:00Z</dcterms:created>
  <dc:creator>Transsion</dc:creator>
  <cp:lastModifiedBy>xingya.shen</cp:lastModifiedBy>
  <cp:lastPrinted>2015-03-27T14:25:00Z</cp:lastPrinted>
  <dcterms:modified xsi:type="dcterms:W3CDTF">2023-04-07T06:52:41Z</dcterms:modified>
  <dc:title>Discussion on PDCCH monitoring enhancements for above 52.6GHz</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2052-11.8.2.8696</vt:lpwstr>
  </property>
</Properties>
</file>